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34A25" w14:textId="1A02AABA" w:rsidR="00F3574D" w:rsidRPr="00F3574D" w:rsidRDefault="009F1150" w:rsidP="009F1150">
      <w:pPr>
        <w:tabs>
          <w:tab w:val="left" w:pos="38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67B04614" w14:textId="15063E86" w:rsidR="000A7A26" w:rsidRDefault="000A7A26" w:rsidP="00EE2A6B">
      <w:pPr>
        <w:rPr>
          <w:rFonts w:ascii="Calibri" w:hAnsi="Calibri"/>
          <w:sz w:val="22"/>
          <w:szCs w:val="22"/>
        </w:rPr>
      </w:pPr>
    </w:p>
    <w:p w14:paraId="205F0142" w14:textId="39811E57" w:rsidR="002F4313" w:rsidRDefault="002F4313" w:rsidP="002F4313">
      <w:pPr>
        <w:spacing w:before="36" w:line="217" w:lineRule="auto"/>
        <w:ind w:right="820"/>
        <w:rPr>
          <w:rFonts w:ascii="Calibri" w:eastAsia="Calibri" w:hAnsi="Calibri" w:cs="Calibri"/>
          <w:sz w:val="22"/>
          <w:szCs w:val="22"/>
        </w:rPr>
      </w:pPr>
    </w:p>
    <w:p w14:paraId="4EAA59CA" w14:textId="6699FD14" w:rsidR="002F4313" w:rsidRPr="00502E14" w:rsidRDefault="002F4313" w:rsidP="002F4313">
      <w:pPr>
        <w:rPr>
          <w:rFonts w:asciiTheme="minorHAnsi" w:hAnsiTheme="minorHAnsi" w:cs="Arial"/>
          <w:b/>
          <w:i/>
          <w:sz w:val="18"/>
        </w:rPr>
      </w:pPr>
    </w:p>
    <w:p w14:paraId="5FB2712B" w14:textId="21D1539E" w:rsidR="00C104F7" w:rsidRDefault="00C104F7" w:rsidP="00F13A93">
      <w:pPr>
        <w:rPr>
          <w:rFonts w:asciiTheme="minorHAnsi" w:hAnsiTheme="minorHAnsi"/>
          <w:sz w:val="22"/>
          <w:szCs w:val="22"/>
        </w:rPr>
      </w:pPr>
    </w:p>
    <w:p w14:paraId="1562BBEA" w14:textId="518BFA35" w:rsidR="00A3564B" w:rsidRPr="00D510B8" w:rsidRDefault="00A3564B" w:rsidP="0073569E">
      <w:pPr>
        <w:rPr>
          <w:rFonts w:asciiTheme="minorHAnsi" w:hAnsiTheme="minorHAnsi"/>
          <w:sz w:val="12"/>
          <w:szCs w:val="12"/>
        </w:rPr>
      </w:pPr>
    </w:p>
    <w:p w14:paraId="46148CFB" w14:textId="77777777" w:rsidR="00C16948" w:rsidRDefault="00C16948" w:rsidP="003B0565">
      <w:pPr>
        <w:rPr>
          <w:rFonts w:asciiTheme="minorHAnsi" w:hAnsiTheme="minorHAnsi"/>
          <w:color w:val="A50021"/>
          <w:sz w:val="28"/>
          <w:szCs w:val="28"/>
        </w:rPr>
      </w:pPr>
    </w:p>
    <w:p w14:paraId="4BA2EEDE" w14:textId="6600C1B8" w:rsidR="003B0565" w:rsidRPr="004B4827" w:rsidRDefault="003B0565" w:rsidP="003B0565">
      <w:pPr>
        <w:rPr>
          <w:rFonts w:asciiTheme="minorHAnsi" w:hAnsiTheme="minorHAnsi"/>
          <w:color w:val="A50021"/>
          <w:sz w:val="28"/>
          <w:szCs w:val="28"/>
        </w:rPr>
      </w:pPr>
      <w:r>
        <w:rPr>
          <w:rFonts w:asciiTheme="minorHAnsi" w:hAnsiTheme="minorHAnsi"/>
          <w:color w:val="A50021"/>
          <w:sz w:val="28"/>
          <w:szCs w:val="28"/>
        </w:rPr>
        <w:t xml:space="preserve">Why </w:t>
      </w:r>
      <w:r w:rsidR="00C93F61">
        <w:rPr>
          <w:rFonts w:asciiTheme="minorHAnsi" w:hAnsiTheme="minorHAnsi"/>
          <w:color w:val="A50021"/>
          <w:sz w:val="28"/>
          <w:szCs w:val="28"/>
        </w:rPr>
        <w:t>It</w:t>
      </w:r>
      <w:r>
        <w:rPr>
          <w:rFonts w:asciiTheme="minorHAnsi" w:hAnsiTheme="minorHAnsi"/>
          <w:color w:val="A50021"/>
          <w:sz w:val="28"/>
          <w:szCs w:val="28"/>
        </w:rPr>
        <w:t xml:space="preserve"> Matters</w:t>
      </w:r>
    </w:p>
    <w:p w14:paraId="2C807354" w14:textId="567AD568" w:rsidR="000C22E2" w:rsidRDefault="00F65DCC" w:rsidP="00C169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the majority of Americans who do not use tobacco, the most important behaviors to reduce cancer risk are maintaining a healthy weight, making healthy dietary choices, participating in regular physical activity, and limiting alcohol consumption.</w:t>
      </w:r>
      <w:r w:rsidR="00EA5613">
        <w:rPr>
          <w:rStyle w:val="EndnoteReference"/>
          <w:rFonts w:asciiTheme="minorHAnsi" w:hAnsiTheme="minorHAnsi"/>
          <w:sz w:val="22"/>
          <w:szCs w:val="22"/>
        </w:rPr>
        <w:endnoteReference w:id="1"/>
      </w:r>
      <w:r w:rsidR="00EA5613">
        <w:rPr>
          <w:rFonts w:asciiTheme="minorHAnsi" w:hAnsiTheme="minorHAnsi"/>
          <w:sz w:val="22"/>
          <w:szCs w:val="22"/>
        </w:rPr>
        <w:t xml:space="preserve">  Overweight and obesity are clearly associated with an increased risk of developing 13 cancers: </w:t>
      </w:r>
      <w:r w:rsidR="00446CC7">
        <w:rPr>
          <w:rFonts w:asciiTheme="minorHAnsi" w:hAnsiTheme="minorHAnsi"/>
          <w:sz w:val="22"/>
          <w:szCs w:val="22"/>
        </w:rPr>
        <w:t>endometrial, esophageal adenocarcinoma, gastric cardia, liver, kidney, multiple myeloma, meningioma, pancreatic, colorectal, gallbladder, breast, ovarian, and thyroid.</w:t>
      </w:r>
      <w:r w:rsidR="00446CC7">
        <w:rPr>
          <w:rStyle w:val="EndnoteReference"/>
          <w:rFonts w:asciiTheme="minorHAnsi" w:hAnsiTheme="minorHAnsi"/>
          <w:sz w:val="22"/>
          <w:szCs w:val="22"/>
        </w:rPr>
        <w:endnoteReference w:id="2"/>
      </w:r>
    </w:p>
    <w:p w14:paraId="294FB229" w14:textId="7172A62F" w:rsidR="00446CC7" w:rsidRDefault="00446CC7" w:rsidP="009F1150">
      <w:pPr>
        <w:spacing w:after="200"/>
        <w:contextualSpacing/>
        <w:rPr>
          <w:rFonts w:asciiTheme="minorHAnsi" w:hAnsiTheme="minorHAnsi"/>
          <w:sz w:val="22"/>
          <w:szCs w:val="22"/>
        </w:rPr>
      </w:pPr>
    </w:p>
    <w:p w14:paraId="6127B82A" w14:textId="0C464419" w:rsidR="0002561D" w:rsidRDefault="00446CC7" w:rsidP="009F1150">
      <w:pPr>
        <w:spacing w:after="20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Obesity rates have doubled among adults and tripled among children in the U.S. in recent decades.</w:t>
      </w:r>
      <w:r w:rsidR="00E63A68">
        <w:rPr>
          <w:rStyle w:val="EndnoteReference"/>
          <w:rFonts w:asciiTheme="minorHAnsi" w:hAnsiTheme="minorHAnsi"/>
          <w:sz w:val="22"/>
          <w:szCs w:val="22"/>
        </w:rPr>
        <w:endnoteReference w:id="3"/>
      </w:r>
      <w:r>
        <w:rPr>
          <w:rFonts w:asciiTheme="minorHAnsi" w:hAnsiTheme="minorHAnsi"/>
          <w:sz w:val="22"/>
          <w:szCs w:val="22"/>
        </w:rPr>
        <w:t xml:space="preserve">  Currently, 35% of youth age</w:t>
      </w:r>
      <w:r w:rsidR="00AB0773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2-19</w:t>
      </w:r>
      <w:r>
        <w:rPr>
          <w:rStyle w:val="EndnoteReference"/>
          <w:rFonts w:asciiTheme="minorHAnsi" w:hAnsiTheme="minorHAnsi"/>
          <w:sz w:val="22"/>
          <w:szCs w:val="22"/>
        </w:rPr>
        <w:endnoteReference w:id="4"/>
      </w:r>
      <w:r>
        <w:rPr>
          <w:rFonts w:asciiTheme="minorHAnsi" w:hAnsiTheme="minorHAnsi"/>
          <w:sz w:val="22"/>
          <w:szCs w:val="22"/>
        </w:rPr>
        <w:t xml:space="preserve"> and 71% of adults</w:t>
      </w:r>
      <w:r>
        <w:rPr>
          <w:rStyle w:val="EndnoteReference"/>
          <w:rFonts w:asciiTheme="minorHAnsi" w:hAnsiTheme="minorHAnsi"/>
          <w:sz w:val="22"/>
          <w:szCs w:val="22"/>
        </w:rPr>
        <w:endnoteReference w:id="5"/>
      </w:r>
      <w:r>
        <w:rPr>
          <w:rFonts w:asciiTheme="minorHAnsi" w:hAnsiTheme="minorHAnsi"/>
          <w:sz w:val="22"/>
          <w:szCs w:val="22"/>
        </w:rPr>
        <w:t xml:space="preserve"> are overweight or obese</w:t>
      </w:r>
      <w:r w:rsidR="00E260DB">
        <w:rPr>
          <w:rFonts w:asciiTheme="minorHAnsi" w:hAnsiTheme="minorHAnsi"/>
          <w:sz w:val="22"/>
          <w:szCs w:val="22"/>
        </w:rPr>
        <w:t xml:space="preserve">.  </w:t>
      </w:r>
      <w:r w:rsidR="00E63A68">
        <w:rPr>
          <w:rFonts w:asciiTheme="minorHAnsi" w:hAnsiTheme="minorHAnsi"/>
          <w:sz w:val="22"/>
          <w:szCs w:val="22"/>
        </w:rPr>
        <w:t>Y</w:t>
      </w:r>
      <w:r w:rsidR="00E00394">
        <w:rPr>
          <w:rFonts w:asciiTheme="minorHAnsi" w:hAnsiTheme="minorHAnsi"/>
          <w:sz w:val="22"/>
          <w:szCs w:val="22"/>
        </w:rPr>
        <w:t>et many of these same children are undernourished, with low intakes of fruit and vegetables, legumes, and whole grains</w:t>
      </w:r>
      <w:r w:rsidR="005F71BB">
        <w:rPr>
          <w:rFonts w:asciiTheme="minorHAnsi" w:hAnsiTheme="minorHAnsi"/>
          <w:sz w:val="22"/>
          <w:szCs w:val="22"/>
        </w:rPr>
        <w:t xml:space="preserve"> that would provide the necessary nutrients for growth and development of their bodies and brains</w:t>
      </w:r>
      <w:r w:rsidR="00E00394">
        <w:rPr>
          <w:rFonts w:asciiTheme="minorHAnsi" w:hAnsiTheme="minorHAnsi"/>
          <w:sz w:val="22"/>
          <w:szCs w:val="22"/>
        </w:rPr>
        <w:t>.</w:t>
      </w:r>
      <w:r w:rsidR="004E6683">
        <w:rPr>
          <w:rStyle w:val="EndnoteReference"/>
          <w:rFonts w:asciiTheme="minorHAnsi" w:hAnsiTheme="minorHAnsi"/>
          <w:sz w:val="22"/>
          <w:szCs w:val="22"/>
        </w:rPr>
        <w:endnoteReference w:id="6"/>
      </w:r>
    </w:p>
    <w:p w14:paraId="2DDA9F1D" w14:textId="77777777" w:rsidR="0002561D" w:rsidRDefault="0002561D" w:rsidP="009F1150">
      <w:pPr>
        <w:spacing w:after="200"/>
        <w:contextualSpacing/>
        <w:rPr>
          <w:rFonts w:asciiTheme="minorHAnsi" w:hAnsiTheme="minorHAnsi"/>
          <w:sz w:val="22"/>
          <w:szCs w:val="22"/>
        </w:rPr>
      </w:pPr>
    </w:p>
    <w:p w14:paraId="48AE3659" w14:textId="6E760A85" w:rsidR="00CA3810" w:rsidRDefault="00CD6D0E" w:rsidP="009F1150">
      <w:pPr>
        <w:spacing w:after="20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Research shows that our food preferences are established when we are very young and can influence our dietary choices for a lifetime.</w:t>
      </w:r>
      <w:r>
        <w:rPr>
          <w:rStyle w:val="EndnoteReference"/>
          <w:rFonts w:asciiTheme="minorHAnsi" w:hAnsiTheme="minorHAnsi"/>
          <w:sz w:val="22"/>
          <w:szCs w:val="22"/>
        </w:rPr>
        <w:endnoteReference w:id="7"/>
      </w:r>
      <w:r>
        <w:rPr>
          <w:rFonts w:asciiTheme="minorHAnsi" w:hAnsiTheme="minorHAnsi"/>
          <w:sz w:val="22"/>
          <w:szCs w:val="22"/>
        </w:rPr>
        <w:t xml:space="preserve">  </w:t>
      </w:r>
      <w:r w:rsidR="00E260DB" w:rsidRPr="00B918C6">
        <w:rPr>
          <w:rFonts w:asciiTheme="minorHAnsi" w:hAnsiTheme="minorHAnsi"/>
          <w:sz w:val="22"/>
          <w:szCs w:val="22"/>
        </w:rPr>
        <w:t xml:space="preserve">Children who are overweight or obese are also more likely to </w:t>
      </w:r>
      <w:r w:rsidR="00B918C6" w:rsidRPr="00B918C6">
        <w:rPr>
          <w:rFonts w:asciiTheme="minorHAnsi" w:hAnsiTheme="minorHAnsi"/>
          <w:sz w:val="22"/>
          <w:szCs w:val="22"/>
        </w:rPr>
        <w:t xml:space="preserve">remain </w:t>
      </w:r>
      <w:r w:rsidR="00E260DB" w:rsidRPr="00B918C6">
        <w:rPr>
          <w:rFonts w:asciiTheme="minorHAnsi" w:hAnsiTheme="minorHAnsi"/>
          <w:sz w:val="22"/>
          <w:szCs w:val="22"/>
        </w:rPr>
        <w:t>overweight in adulthood.</w:t>
      </w:r>
      <w:r w:rsidR="00E260DB" w:rsidRPr="00B918C6">
        <w:rPr>
          <w:rStyle w:val="EndnoteReference"/>
          <w:rFonts w:asciiTheme="minorHAnsi" w:hAnsiTheme="minorHAnsi"/>
          <w:sz w:val="22"/>
          <w:szCs w:val="22"/>
        </w:rPr>
        <w:endnoteReference w:id="8"/>
      </w:r>
      <w:r w:rsidR="005F71BB" w:rsidRPr="00B918C6">
        <w:rPr>
          <w:rFonts w:asciiTheme="minorHAnsi" w:hAnsiTheme="minorHAnsi"/>
          <w:sz w:val="22"/>
          <w:szCs w:val="22"/>
        </w:rPr>
        <w:t xml:space="preserve">  </w:t>
      </w:r>
      <w:r w:rsidR="00C93F61" w:rsidRPr="00B918C6">
        <w:rPr>
          <w:rFonts w:asciiTheme="minorHAnsi" w:hAnsiTheme="minorHAnsi"/>
          <w:sz w:val="22"/>
          <w:szCs w:val="22"/>
        </w:rPr>
        <w:t>Being overweight or obese can have negative impacts on children, both physically and psychologically.</w:t>
      </w:r>
      <w:r w:rsidR="00C93F61" w:rsidRPr="00B918C6">
        <w:rPr>
          <w:rStyle w:val="EndnoteReference"/>
          <w:rFonts w:asciiTheme="minorHAnsi" w:hAnsiTheme="minorHAnsi"/>
          <w:sz w:val="22"/>
          <w:szCs w:val="22"/>
        </w:rPr>
        <w:endnoteReference w:id="9"/>
      </w:r>
      <w:r w:rsidR="00C93F61" w:rsidRPr="00B918C6">
        <w:rPr>
          <w:rFonts w:asciiTheme="minorHAnsi" w:hAnsiTheme="minorHAnsi"/>
          <w:sz w:val="22"/>
          <w:szCs w:val="22"/>
        </w:rPr>
        <w:t xml:space="preserve">  Excess body weight is also associated with poor academic achievement and a decreased quality of life.</w:t>
      </w:r>
      <w:r w:rsidR="00C93F61" w:rsidRPr="00B918C6">
        <w:rPr>
          <w:rStyle w:val="EndnoteReference"/>
          <w:rFonts w:asciiTheme="minorHAnsi" w:hAnsiTheme="minorHAnsi"/>
          <w:sz w:val="22"/>
          <w:szCs w:val="22"/>
        </w:rPr>
        <w:endnoteReference w:id="10"/>
      </w:r>
      <w:r w:rsidR="00C93F61">
        <w:rPr>
          <w:rFonts w:asciiTheme="minorHAnsi" w:hAnsiTheme="minorHAnsi"/>
          <w:sz w:val="22"/>
          <w:szCs w:val="22"/>
        </w:rPr>
        <w:t xml:space="preserve">  </w:t>
      </w:r>
    </w:p>
    <w:p w14:paraId="4FFE386A" w14:textId="77777777" w:rsidR="00CA3810" w:rsidRDefault="00CA3810" w:rsidP="009F1150">
      <w:pPr>
        <w:spacing w:after="200"/>
        <w:contextualSpacing/>
        <w:rPr>
          <w:rFonts w:asciiTheme="minorHAnsi" w:hAnsiTheme="minorHAnsi"/>
          <w:sz w:val="22"/>
          <w:szCs w:val="22"/>
        </w:rPr>
      </w:pPr>
    </w:p>
    <w:p w14:paraId="6A1482E5" w14:textId="77777777" w:rsidR="00CA3810" w:rsidRDefault="00CA3810" w:rsidP="009F1150">
      <w:pPr>
        <w:spacing w:after="20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E63A68">
        <w:rPr>
          <w:rFonts w:asciiTheme="minorHAnsi" w:hAnsiTheme="minorHAnsi"/>
          <w:sz w:val="22"/>
          <w:szCs w:val="22"/>
        </w:rPr>
        <w:t>hat children eat today will impact their future cancer risk.</w:t>
      </w:r>
      <w:r>
        <w:rPr>
          <w:rFonts w:asciiTheme="minorHAnsi" w:hAnsiTheme="minorHAnsi"/>
          <w:sz w:val="22"/>
          <w:szCs w:val="22"/>
        </w:rPr>
        <w:t xml:space="preserve">  Unhealthy food marketing to youth has been shown to be a major contributor to poor diet choices</w:t>
      </w:r>
      <w:r w:rsidR="003544C2">
        <w:rPr>
          <w:rStyle w:val="EndnoteReference"/>
          <w:rFonts w:asciiTheme="minorHAnsi" w:hAnsiTheme="minorHAnsi"/>
          <w:sz w:val="22"/>
          <w:szCs w:val="22"/>
        </w:rPr>
        <w:endnoteReference w:id="11"/>
      </w:r>
      <w:r w:rsidR="003544C2">
        <w:rPr>
          <w:rFonts w:asciiTheme="minorHAnsi" w:hAnsiTheme="minorHAnsi"/>
          <w:sz w:val="22"/>
          <w:szCs w:val="22"/>
        </w:rPr>
        <w:t xml:space="preserve">  </w:t>
      </w:r>
    </w:p>
    <w:p w14:paraId="68D1A820" w14:textId="77777777" w:rsidR="00CA3810" w:rsidRDefault="00CA3810" w:rsidP="009F1150">
      <w:pPr>
        <w:spacing w:after="200"/>
        <w:contextualSpacing/>
        <w:rPr>
          <w:rFonts w:asciiTheme="minorHAnsi" w:hAnsiTheme="minorHAnsi"/>
          <w:sz w:val="22"/>
          <w:szCs w:val="22"/>
        </w:rPr>
      </w:pPr>
    </w:p>
    <w:p w14:paraId="0F30133D" w14:textId="47FDE62D" w:rsidR="00B14160" w:rsidRDefault="00CA3810" w:rsidP="009F1150">
      <w:pPr>
        <w:spacing w:after="20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</w:t>
      </w:r>
      <w:r w:rsidR="002477D7">
        <w:rPr>
          <w:rFonts w:asciiTheme="minorHAnsi" w:hAnsiTheme="minorHAnsi"/>
          <w:sz w:val="22"/>
          <w:szCs w:val="22"/>
        </w:rPr>
        <w:t xml:space="preserve">arketing of unhealthy foods and beverages </w:t>
      </w:r>
      <w:r>
        <w:rPr>
          <w:rFonts w:asciiTheme="minorHAnsi" w:hAnsiTheme="minorHAnsi"/>
          <w:sz w:val="22"/>
          <w:szCs w:val="22"/>
        </w:rPr>
        <w:t xml:space="preserve">creates an environment that </w:t>
      </w:r>
      <w:r w:rsidR="00AB0773">
        <w:rPr>
          <w:rFonts w:asciiTheme="minorHAnsi" w:hAnsiTheme="minorHAnsi"/>
          <w:sz w:val="22"/>
          <w:szCs w:val="22"/>
        </w:rPr>
        <w:t xml:space="preserve">fosters harmful consumption </w:t>
      </w:r>
      <w:r>
        <w:rPr>
          <w:rFonts w:asciiTheme="minorHAnsi" w:hAnsiTheme="minorHAnsi"/>
          <w:sz w:val="22"/>
          <w:szCs w:val="22"/>
        </w:rPr>
        <w:t>choices.  Restricting</w:t>
      </w:r>
      <w:r w:rsidR="00D04490">
        <w:rPr>
          <w:rFonts w:asciiTheme="minorHAnsi" w:hAnsiTheme="minorHAnsi"/>
          <w:sz w:val="22"/>
          <w:szCs w:val="22"/>
        </w:rPr>
        <w:t xml:space="preserve"> </w:t>
      </w:r>
      <w:r w:rsidR="00AB0773">
        <w:rPr>
          <w:rFonts w:asciiTheme="minorHAnsi" w:hAnsiTheme="minorHAnsi"/>
          <w:sz w:val="22"/>
          <w:szCs w:val="22"/>
        </w:rPr>
        <w:t xml:space="preserve">inappropriate </w:t>
      </w:r>
      <w:r w:rsidR="00D04490">
        <w:rPr>
          <w:rFonts w:asciiTheme="minorHAnsi" w:hAnsiTheme="minorHAnsi"/>
          <w:sz w:val="22"/>
          <w:szCs w:val="22"/>
        </w:rPr>
        <w:t>marketing</w:t>
      </w:r>
      <w:r w:rsidR="003544C2">
        <w:rPr>
          <w:rFonts w:asciiTheme="minorHAnsi" w:hAnsiTheme="minorHAnsi"/>
          <w:sz w:val="22"/>
          <w:szCs w:val="22"/>
        </w:rPr>
        <w:t xml:space="preserve"> is an important strategy for promot</w:t>
      </w:r>
      <w:r w:rsidR="00D04490">
        <w:rPr>
          <w:rFonts w:asciiTheme="minorHAnsi" w:hAnsiTheme="minorHAnsi"/>
          <w:sz w:val="22"/>
          <w:szCs w:val="22"/>
        </w:rPr>
        <w:t xml:space="preserve">ing </w:t>
      </w:r>
      <w:r w:rsidR="00AB0773">
        <w:rPr>
          <w:rFonts w:asciiTheme="minorHAnsi" w:hAnsiTheme="minorHAnsi"/>
          <w:sz w:val="22"/>
          <w:szCs w:val="22"/>
        </w:rPr>
        <w:t>nourishing</w:t>
      </w:r>
      <w:r w:rsidR="00AB0773" w:rsidDel="00AB0773">
        <w:rPr>
          <w:rFonts w:asciiTheme="minorHAnsi" w:hAnsiTheme="minorHAnsi"/>
          <w:sz w:val="22"/>
          <w:szCs w:val="22"/>
        </w:rPr>
        <w:t xml:space="preserve"> </w:t>
      </w:r>
      <w:r w:rsidR="003544C2">
        <w:rPr>
          <w:rFonts w:asciiTheme="minorHAnsi" w:hAnsiTheme="minorHAnsi"/>
          <w:sz w:val="22"/>
          <w:szCs w:val="22"/>
        </w:rPr>
        <w:t xml:space="preserve">food </w:t>
      </w:r>
      <w:r>
        <w:rPr>
          <w:rFonts w:asciiTheme="minorHAnsi" w:hAnsiTheme="minorHAnsi"/>
          <w:sz w:val="22"/>
          <w:szCs w:val="22"/>
        </w:rPr>
        <w:t xml:space="preserve">and beverage </w:t>
      </w:r>
      <w:r w:rsidR="003544C2">
        <w:rPr>
          <w:rFonts w:asciiTheme="minorHAnsi" w:hAnsiTheme="minorHAnsi"/>
          <w:sz w:val="22"/>
          <w:szCs w:val="22"/>
        </w:rPr>
        <w:t xml:space="preserve">choices </w:t>
      </w:r>
      <w:r w:rsidR="00D04490">
        <w:rPr>
          <w:rFonts w:asciiTheme="minorHAnsi" w:hAnsiTheme="minorHAnsi"/>
          <w:sz w:val="22"/>
          <w:szCs w:val="22"/>
        </w:rPr>
        <w:t>t</w:t>
      </w:r>
      <w:r w:rsidR="003544C2">
        <w:rPr>
          <w:rFonts w:asciiTheme="minorHAnsi" w:hAnsiTheme="minorHAnsi"/>
          <w:sz w:val="22"/>
          <w:szCs w:val="22"/>
        </w:rPr>
        <w:t>hat support optimal growth and development of children</w:t>
      </w:r>
      <w:r>
        <w:rPr>
          <w:rFonts w:asciiTheme="minorHAnsi" w:hAnsiTheme="minorHAnsi"/>
          <w:sz w:val="22"/>
          <w:szCs w:val="22"/>
        </w:rPr>
        <w:t xml:space="preserve"> and reduce cancer risk</w:t>
      </w:r>
      <w:r w:rsidR="003544C2">
        <w:rPr>
          <w:rFonts w:asciiTheme="minorHAnsi" w:hAnsiTheme="minorHAnsi"/>
          <w:sz w:val="22"/>
          <w:szCs w:val="22"/>
        </w:rPr>
        <w:t xml:space="preserve">.  </w:t>
      </w:r>
    </w:p>
    <w:p w14:paraId="10E7C31D" w14:textId="1FAC845F" w:rsidR="00E260DB" w:rsidRDefault="00E260DB" w:rsidP="009F1150">
      <w:pPr>
        <w:spacing w:after="200"/>
        <w:contextualSpacing/>
        <w:rPr>
          <w:rFonts w:asciiTheme="minorHAnsi" w:hAnsiTheme="minorHAnsi"/>
          <w:sz w:val="22"/>
          <w:szCs w:val="22"/>
        </w:rPr>
      </w:pPr>
    </w:p>
    <w:p w14:paraId="3C393B65" w14:textId="6B5EBE8F" w:rsidR="002477D7" w:rsidRPr="004B4827" w:rsidRDefault="00C11B6D" w:rsidP="002477D7">
      <w:pPr>
        <w:rPr>
          <w:rFonts w:asciiTheme="minorHAnsi" w:hAnsiTheme="minorHAnsi"/>
          <w:color w:val="A50021"/>
          <w:sz w:val="28"/>
          <w:szCs w:val="28"/>
        </w:rPr>
      </w:pPr>
      <w:bookmarkStart w:id="0" w:name="_Hlk17273038"/>
      <w:r>
        <w:rPr>
          <w:rFonts w:asciiTheme="minorHAnsi" w:hAnsiTheme="minorHAnsi"/>
          <w:color w:val="A50021"/>
          <w:sz w:val="28"/>
          <w:szCs w:val="28"/>
        </w:rPr>
        <w:t>The Harm of Marketing Unhealthy Food</w:t>
      </w:r>
      <w:r w:rsidR="00CA3810">
        <w:rPr>
          <w:rFonts w:asciiTheme="minorHAnsi" w:hAnsiTheme="minorHAnsi"/>
          <w:color w:val="A50021"/>
          <w:sz w:val="28"/>
          <w:szCs w:val="28"/>
        </w:rPr>
        <w:t>s</w:t>
      </w:r>
      <w:r>
        <w:rPr>
          <w:rFonts w:asciiTheme="minorHAnsi" w:hAnsiTheme="minorHAnsi"/>
          <w:color w:val="A50021"/>
          <w:sz w:val="28"/>
          <w:szCs w:val="28"/>
        </w:rPr>
        <w:t xml:space="preserve"> and Beverage </w:t>
      </w:r>
    </w:p>
    <w:bookmarkEnd w:id="0"/>
    <w:p w14:paraId="70414F86" w14:textId="72742223" w:rsidR="002477D7" w:rsidRDefault="002477D7" w:rsidP="009F1150">
      <w:pPr>
        <w:spacing w:after="200"/>
        <w:contextualSpacing/>
        <w:rPr>
          <w:rFonts w:asciiTheme="minorHAnsi" w:hAnsiTheme="minorHAnsi"/>
          <w:sz w:val="22"/>
          <w:szCs w:val="22"/>
        </w:rPr>
      </w:pPr>
      <w:r w:rsidRPr="002477D7">
        <w:rPr>
          <w:rFonts w:asciiTheme="minorHAnsi" w:hAnsiTheme="minorHAnsi"/>
          <w:sz w:val="22"/>
          <w:szCs w:val="22"/>
        </w:rPr>
        <w:t>Foo</w:t>
      </w:r>
      <w:r>
        <w:rPr>
          <w:rFonts w:asciiTheme="minorHAnsi" w:hAnsiTheme="minorHAnsi"/>
          <w:sz w:val="22"/>
          <w:szCs w:val="22"/>
        </w:rPr>
        <w:t xml:space="preserve">d and </w:t>
      </w:r>
      <w:r w:rsidR="00E46935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everage companies </w:t>
      </w:r>
      <w:r w:rsidR="004046F3">
        <w:rPr>
          <w:rFonts w:asciiTheme="minorHAnsi" w:hAnsiTheme="minorHAnsi"/>
          <w:sz w:val="22"/>
          <w:szCs w:val="22"/>
        </w:rPr>
        <w:t xml:space="preserve">spend billions of dollars each year to </w:t>
      </w:r>
      <w:r>
        <w:rPr>
          <w:rFonts w:asciiTheme="minorHAnsi" w:hAnsiTheme="minorHAnsi"/>
          <w:sz w:val="22"/>
          <w:szCs w:val="22"/>
        </w:rPr>
        <w:t xml:space="preserve">aggressively market foods </w:t>
      </w:r>
      <w:r w:rsidR="00D04490">
        <w:rPr>
          <w:rFonts w:asciiTheme="minorHAnsi" w:hAnsiTheme="minorHAnsi"/>
          <w:sz w:val="22"/>
          <w:szCs w:val="22"/>
        </w:rPr>
        <w:t xml:space="preserve">to youth </w:t>
      </w:r>
      <w:r>
        <w:rPr>
          <w:rFonts w:asciiTheme="minorHAnsi" w:hAnsiTheme="minorHAnsi"/>
          <w:sz w:val="22"/>
          <w:szCs w:val="22"/>
        </w:rPr>
        <w:t>that are high in sugars, fats and salts</w:t>
      </w:r>
      <w:r w:rsidR="00D04490">
        <w:rPr>
          <w:rFonts w:asciiTheme="minorHAnsi" w:hAnsiTheme="minorHAnsi"/>
          <w:sz w:val="22"/>
          <w:szCs w:val="22"/>
        </w:rPr>
        <w:t xml:space="preserve"> while there is almost no marketing of fruits, vegetables and whole grains.</w:t>
      </w:r>
      <w:r w:rsidR="00E63A68">
        <w:rPr>
          <w:rStyle w:val="EndnoteReference"/>
          <w:rFonts w:asciiTheme="minorHAnsi" w:hAnsiTheme="minorHAnsi"/>
          <w:sz w:val="22"/>
          <w:szCs w:val="22"/>
        </w:rPr>
        <w:endnoteReference w:id="12"/>
      </w:r>
      <w:r w:rsidR="00D04490">
        <w:rPr>
          <w:rFonts w:asciiTheme="minorHAnsi" w:hAnsiTheme="minorHAnsi"/>
          <w:sz w:val="22"/>
          <w:szCs w:val="22"/>
        </w:rPr>
        <w:t xml:space="preserve">   </w:t>
      </w:r>
      <w:r w:rsidR="0010490E">
        <w:rPr>
          <w:rFonts w:asciiTheme="minorHAnsi" w:hAnsiTheme="minorHAnsi"/>
          <w:sz w:val="22"/>
          <w:szCs w:val="22"/>
        </w:rPr>
        <w:t>Companies target youth and adolescents with a variety of strategies, including food packaging, toys, television, radio, billboards</w:t>
      </w:r>
      <w:r w:rsidR="00E46935">
        <w:rPr>
          <w:rFonts w:asciiTheme="minorHAnsi" w:hAnsiTheme="minorHAnsi"/>
          <w:sz w:val="22"/>
          <w:szCs w:val="22"/>
        </w:rPr>
        <w:t>,</w:t>
      </w:r>
      <w:r w:rsidR="0010490E">
        <w:rPr>
          <w:rFonts w:asciiTheme="minorHAnsi" w:hAnsiTheme="minorHAnsi"/>
          <w:sz w:val="22"/>
          <w:szCs w:val="22"/>
        </w:rPr>
        <w:t xml:space="preserve"> print ads</w:t>
      </w:r>
      <w:r w:rsidR="00E46935">
        <w:rPr>
          <w:rFonts w:asciiTheme="minorHAnsi" w:hAnsiTheme="minorHAnsi"/>
          <w:sz w:val="22"/>
          <w:szCs w:val="22"/>
        </w:rPr>
        <w:t>, as well as “point of sale” advertising in stores and fast food restaurants</w:t>
      </w:r>
      <w:r w:rsidR="0010490E">
        <w:rPr>
          <w:rFonts w:asciiTheme="minorHAnsi" w:hAnsiTheme="minorHAnsi"/>
          <w:sz w:val="22"/>
          <w:szCs w:val="22"/>
        </w:rPr>
        <w:t>.</w:t>
      </w:r>
      <w:r w:rsidR="003002B3">
        <w:rPr>
          <w:rStyle w:val="EndnoteReference"/>
          <w:rFonts w:asciiTheme="minorHAnsi" w:hAnsiTheme="minorHAnsi"/>
          <w:sz w:val="22"/>
          <w:szCs w:val="22"/>
        </w:rPr>
        <w:endnoteReference w:id="13"/>
      </w:r>
      <w:r w:rsidR="0010490E">
        <w:rPr>
          <w:rFonts w:asciiTheme="minorHAnsi" w:hAnsiTheme="minorHAnsi"/>
          <w:sz w:val="22"/>
          <w:szCs w:val="22"/>
        </w:rPr>
        <w:t xml:space="preserve">  </w:t>
      </w:r>
      <w:r w:rsidR="0043109F">
        <w:rPr>
          <w:rFonts w:asciiTheme="minorHAnsi" w:hAnsiTheme="minorHAnsi"/>
          <w:sz w:val="22"/>
          <w:szCs w:val="22"/>
        </w:rPr>
        <w:t>T</w:t>
      </w:r>
      <w:r w:rsidR="0010490E">
        <w:rPr>
          <w:rFonts w:asciiTheme="minorHAnsi" w:hAnsiTheme="minorHAnsi"/>
          <w:sz w:val="22"/>
          <w:szCs w:val="22"/>
        </w:rPr>
        <w:t xml:space="preserve">hey also sponsor sporting events, scholarships and contests, </w:t>
      </w:r>
      <w:r w:rsidR="00E46935">
        <w:rPr>
          <w:rFonts w:asciiTheme="minorHAnsi" w:hAnsiTheme="minorHAnsi"/>
          <w:sz w:val="22"/>
          <w:szCs w:val="22"/>
        </w:rPr>
        <w:t>and they</w:t>
      </w:r>
      <w:r w:rsidR="0010490E">
        <w:rPr>
          <w:rFonts w:asciiTheme="minorHAnsi" w:hAnsiTheme="minorHAnsi"/>
          <w:sz w:val="22"/>
          <w:szCs w:val="22"/>
        </w:rPr>
        <w:t xml:space="preserve"> pay for product placement in movies and TV shows.</w:t>
      </w:r>
      <w:r w:rsidR="003002B3">
        <w:rPr>
          <w:rStyle w:val="EndnoteReference"/>
          <w:rFonts w:asciiTheme="minorHAnsi" w:hAnsiTheme="minorHAnsi"/>
          <w:sz w:val="22"/>
          <w:szCs w:val="22"/>
        </w:rPr>
        <w:endnoteReference w:id="14"/>
      </w:r>
      <w:r w:rsidR="0010490E">
        <w:rPr>
          <w:rFonts w:asciiTheme="minorHAnsi" w:hAnsiTheme="minorHAnsi"/>
          <w:sz w:val="22"/>
          <w:szCs w:val="22"/>
        </w:rPr>
        <w:t xml:space="preserve">  In recent years</w:t>
      </w:r>
      <w:r w:rsidR="00C11B6D">
        <w:rPr>
          <w:rFonts w:asciiTheme="minorHAnsi" w:hAnsiTheme="minorHAnsi"/>
          <w:sz w:val="22"/>
          <w:szCs w:val="22"/>
        </w:rPr>
        <w:t>,</w:t>
      </w:r>
      <w:r w:rsidR="0010490E">
        <w:rPr>
          <w:rFonts w:asciiTheme="minorHAnsi" w:hAnsiTheme="minorHAnsi"/>
          <w:sz w:val="22"/>
          <w:szCs w:val="22"/>
        </w:rPr>
        <w:t xml:space="preserve"> they have been able to target ads for </w:t>
      </w:r>
      <w:r w:rsidR="00B608C4">
        <w:rPr>
          <w:rFonts w:asciiTheme="minorHAnsi" w:hAnsiTheme="minorHAnsi"/>
          <w:sz w:val="22"/>
          <w:szCs w:val="22"/>
        </w:rPr>
        <w:t>products like sodas, energy drinks, candy and fast food through phones, gaming platforms</w:t>
      </w:r>
      <w:r w:rsidR="00AB0773">
        <w:rPr>
          <w:rFonts w:asciiTheme="minorHAnsi" w:hAnsiTheme="minorHAnsi"/>
          <w:sz w:val="22"/>
          <w:szCs w:val="22"/>
        </w:rPr>
        <w:t>,</w:t>
      </w:r>
      <w:r w:rsidR="00B608C4">
        <w:rPr>
          <w:rFonts w:asciiTheme="minorHAnsi" w:hAnsiTheme="minorHAnsi"/>
          <w:sz w:val="22"/>
          <w:szCs w:val="22"/>
        </w:rPr>
        <w:t xml:space="preserve"> and social media sites</w:t>
      </w:r>
      <w:r w:rsidR="00E46935">
        <w:rPr>
          <w:rFonts w:asciiTheme="minorHAnsi" w:hAnsiTheme="minorHAnsi"/>
          <w:sz w:val="22"/>
          <w:szCs w:val="22"/>
        </w:rPr>
        <w:t>, so youth are exposed to this marketing many times each day</w:t>
      </w:r>
      <w:r w:rsidR="00B608C4">
        <w:rPr>
          <w:rFonts w:asciiTheme="minorHAnsi" w:hAnsiTheme="minorHAnsi"/>
          <w:sz w:val="22"/>
          <w:szCs w:val="22"/>
        </w:rPr>
        <w:t>.</w:t>
      </w:r>
      <w:r w:rsidR="00B608C4">
        <w:rPr>
          <w:rStyle w:val="EndnoteReference"/>
          <w:rFonts w:asciiTheme="minorHAnsi" w:hAnsiTheme="minorHAnsi"/>
          <w:sz w:val="22"/>
          <w:szCs w:val="22"/>
        </w:rPr>
        <w:endnoteReference w:id="15"/>
      </w:r>
      <w:r w:rsidR="00B608C4">
        <w:rPr>
          <w:rFonts w:asciiTheme="minorHAnsi" w:hAnsiTheme="minorHAnsi"/>
          <w:sz w:val="22"/>
          <w:szCs w:val="22"/>
        </w:rPr>
        <w:t xml:space="preserve"> </w:t>
      </w:r>
    </w:p>
    <w:p w14:paraId="7A52247D" w14:textId="77777777" w:rsidR="001E3B56" w:rsidRPr="002477D7" w:rsidRDefault="001E3B56" w:rsidP="009F1150">
      <w:pPr>
        <w:spacing w:after="200"/>
        <w:contextualSpacing/>
        <w:rPr>
          <w:rFonts w:asciiTheme="minorHAnsi" w:hAnsiTheme="minorHAnsi"/>
          <w:sz w:val="22"/>
          <w:szCs w:val="22"/>
        </w:rPr>
      </w:pPr>
    </w:p>
    <w:p w14:paraId="61E32DD0" w14:textId="7FE16522" w:rsidR="00F046B3" w:rsidRPr="00F046B3" w:rsidRDefault="004C79A3" w:rsidP="009F1150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Research has demonstrated that advertising of food and beverages is associated with </w:t>
      </w:r>
      <w:r w:rsidR="00C11B6D">
        <w:rPr>
          <w:rFonts w:asciiTheme="minorHAnsi" w:hAnsiTheme="minorHAnsi"/>
          <w:sz w:val="22"/>
          <w:szCs w:val="22"/>
        </w:rPr>
        <w:t>children’s</w:t>
      </w:r>
      <w:r>
        <w:rPr>
          <w:rFonts w:asciiTheme="minorHAnsi" w:hAnsiTheme="minorHAnsi"/>
          <w:sz w:val="22"/>
          <w:szCs w:val="22"/>
        </w:rPr>
        <w:t xml:space="preserve"> purchase requests, consumption patterns</w:t>
      </w:r>
      <w:r w:rsidR="00C11B6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and body weight.</w:t>
      </w:r>
      <w:r>
        <w:rPr>
          <w:rStyle w:val="EndnoteReference"/>
          <w:rFonts w:asciiTheme="minorHAnsi" w:hAnsiTheme="minorHAnsi"/>
          <w:sz w:val="22"/>
          <w:szCs w:val="22"/>
        </w:rPr>
        <w:endnoteReference w:id="16"/>
      </w:r>
      <w:r w:rsidR="00C93F61">
        <w:rPr>
          <w:rFonts w:asciiTheme="minorHAnsi" w:hAnsiTheme="minorHAnsi"/>
          <w:sz w:val="22"/>
          <w:szCs w:val="22"/>
        </w:rPr>
        <w:t xml:space="preserve"> </w:t>
      </w:r>
      <w:r w:rsidR="00F046B3">
        <w:rPr>
          <w:rFonts w:asciiTheme="minorHAnsi" w:hAnsiTheme="minorHAnsi"/>
          <w:sz w:val="22"/>
          <w:szCs w:val="22"/>
        </w:rPr>
        <w:t xml:space="preserve">Adolescent brains are still developing, so they are less able to resist immediate pleasure, like a </w:t>
      </w:r>
      <w:r w:rsidR="00C11B6D">
        <w:rPr>
          <w:rFonts w:asciiTheme="minorHAnsi" w:hAnsiTheme="minorHAnsi"/>
          <w:sz w:val="22"/>
          <w:szCs w:val="22"/>
        </w:rPr>
        <w:t>sweet</w:t>
      </w:r>
      <w:r w:rsidR="00F046B3">
        <w:rPr>
          <w:rFonts w:asciiTheme="minorHAnsi" w:hAnsiTheme="minorHAnsi"/>
          <w:sz w:val="22"/>
          <w:szCs w:val="22"/>
        </w:rPr>
        <w:t xml:space="preserve"> treat, in favor of a more abstract future benefit like health.</w:t>
      </w:r>
      <w:r w:rsidR="00F046B3">
        <w:rPr>
          <w:rStyle w:val="EndnoteReference"/>
          <w:rFonts w:asciiTheme="minorHAnsi" w:hAnsiTheme="minorHAnsi"/>
          <w:sz w:val="22"/>
          <w:szCs w:val="22"/>
        </w:rPr>
        <w:endnoteReference w:id="17"/>
      </w:r>
      <w:r w:rsidR="00F046B3">
        <w:rPr>
          <w:rFonts w:asciiTheme="minorHAnsi" w:hAnsiTheme="minorHAnsi"/>
          <w:sz w:val="22"/>
          <w:szCs w:val="22"/>
        </w:rPr>
        <w:t xml:space="preserve"> </w:t>
      </w:r>
      <w:r w:rsidR="00967C4A">
        <w:rPr>
          <w:rFonts w:asciiTheme="minorHAnsi" w:hAnsiTheme="minorHAnsi"/>
          <w:sz w:val="22"/>
          <w:szCs w:val="22"/>
        </w:rPr>
        <w:t>Everyday, 64% of youth under age 20 consume at least one sugary beverage and 41% of teens consume fast food.</w:t>
      </w:r>
      <w:r w:rsidR="00967C4A">
        <w:rPr>
          <w:rStyle w:val="EndnoteReference"/>
          <w:rFonts w:asciiTheme="minorHAnsi" w:hAnsiTheme="minorHAnsi"/>
          <w:sz w:val="22"/>
          <w:szCs w:val="22"/>
        </w:rPr>
        <w:endnoteReference w:id="18"/>
      </w:r>
    </w:p>
    <w:p w14:paraId="73FD1546" w14:textId="17F0A319" w:rsidR="001E3B56" w:rsidRPr="004B4827" w:rsidRDefault="00E26069" w:rsidP="001E3B56">
      <w:pPr>
        <w:rPr>
          <w:rFonts w:asciiTheme="minorHAnsi" w:hAnsiTheme="minorHAnsi"/>
          <w:color w:val="A50021"/>
          <w:sz w:val="28"/>
          <w:szCs w:val="28"/>
        </w:rPr>
      </w:pPr>
      <w:r>
        <w:rPr>
          <w:rFonts w:asciiTheme="minorHAnsi" w:hAnsiTheme="minorHAnsi"/>
          <w:color w:val="A50021"/>
          <w:sz w:val="28"/>
          <w:szCs w:val="28"/>
        </w:rPr>
        <w:t>Promoting Inequity</w:t>
      </w:r>
    </w:p>
    <w:p w14:paraId="6EDDF0BE" w14:textId="77777777" w:rsidR="00C16948" w:rsidRDefault="0043109F" w:rsidP="009F1150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 virtue of their zip code, low</w:t>
      </w:r>
      <w:r w:rsidR="00B079BE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income youth are exposed to more junk-food advertising on billboards and window advertising.</w:t>
      </w:r>
      <w:r>
        <w:rPr>
          <w:rStyle w:val="EndnoteReference"/>
          <w:rFonts w:asciiTheme="minorHAnsi" w:hAnsiTheme="minorHAnsi"/>
          <w:sz w:val="22"/>
          <w:szCs w:val="22"/>
        </w:rPr>
        <w:endnoteReference w:id="19"/>
      </w:r>
      <w:r>
        <w:rPr>
          <w:rFonts w:asciiTheme="minorHAnsi" w:hAnsiTheme="minorHAnsi"/>
          <w:sz w:val="22"/>
          <w:szCs w:val="22"/>
        </w:rPr>
        <w:t xml:space="preserve">  Low</w:t>
      </w:r>
      <w:r w:rsidR="00AB0773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income neighborhoods are less likely to have access to affordable, healthy food options.  </w:t>
      </w:r>
      <w:r w:rsidR="00EB4447">
        <w:rPr>
          <w:rFonts w:asciiTheme="minorHAnsi" w:hAnsiTheme="minorHAnsi"/>
          <w:sz w:val="22"/>
          <w:szCs w:val="22"/>
        </w:rPr>
        <w:t xml:space="preserve">They are more likely to </w:t>
      </w:r>
      <w:r w:rsidR="00C11B6D">
        <w:rPr>
          <w:rFonts w:asciiTheme="minorHAnsi" w:hAnsiTheme="minorHAnsi"/>
          <w:sz w:val="22"/>
          <w:szCs w:val="22"/>
        </w:rPr>
        <w:t>live near</w:t>
      </w:r>
      <w:r w:rsidR="00EB4447">
        <w:rPr>
          <w:rFonts w:asciiTheme="minorHAnsi" w:hAnsiTheme="minorHAnsi"/>
          <w:sz w:val="22"/>
          <w:szCs w:val="22"/>
        </w:rPr>
        <w:t xml:space="preserve"> fast</w:t>
      </w:r>
      <w:r w:rsidR="00AB0773">
        <w:rPr>
          <w:rFonts w:asciiTheme="minorHAnsi" w:hAnsiTheme="minorHAnsi"/>
          <w:sz w:val="22"/>
          <w:szCs w:val="22"/>
        </w:rPr>
        <w:t>-</w:t>
      </w:r>
      <w:r w:rsidR="00EB4447">
        <w:rPr>
          <w:rFonts w:asciiTheme="minorHAnsi" w:hAnsiTheme="minorHAnsi"/>
          <w:sz w:val="22"/>
          <w:szCs w:val="22"/>
        </w:rPr>
        <w:t xml:space="preserve">food restaurants and </w:t>
      </w:r>
      <w:r w:rsidR="00C11B6D">
        <w:rPr>
          <w:rFonts w:asciiTheme="minorHAnsi" w:hAnsiTheme="minorHAnsi"/>
          <w:sz w:val="22"/>
          <w:szCs w:val="22"/>
        </w:rPr>
        <w:t xml:space="preserve">to </w:t>
      </w:r>
      <w:r w:rsidR="00EB4447">
        <w:rPr>
          <w:rFonts w:asciiTheme="minorHAnsi" w:hAnsiTheme="minorHAnsi"/>
          <w:sz w:val="22"/>
          <w:szCs w:val="22"/>
        </w:rPr>
        <w:t>rely upon corner stores instead of supermarkets for groceries.</w:t>
      </w:r>
      <w:r w:rsidR="00EB4447">
        <w:rPr>
          <w:rStyle w:val="EndnoteReference"/>
          <w:rFonts w:asciiTheme="minorHAnsi" w:hAnsiTheme="minorHAnsi"/>
          <w:sz w:val="22"/>
          <w:szCs w:val="22"/>
        </w:rPr>
        <w:endnoteReference w:id="20"/>
      </w:r>
      <w:r w:rsidR="00EB4447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Low</w:t>
      </w:r>
      <w:r w:rsidR="00AB0773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income communities suffer higher rates of nutrition-related disease than their higher income counterparts, and they are also exposed to more junk-food advertising. </w:t>
      </w:r>
    </w:p>
    <w:p w14:paraId="147D2B33" w14:textId="77777777" w:rsidR="00C16948" w:rsidRDefault="00C16948" w:rsidP="009F1150">
      <w:pPr>
        <w:spacing w:after="200"/>
        <w:rPr>
          <w:rFonts w:asciiTheme="minorHAnsi" w:hAnsiTheme="minorHAnsi"/>
          <w:sz w:val="22"/>
          <w:szCs w:val="22"/>
        </w:rPr>
      </w:pPr>
    </w:p>
    <w:p w14:paraId="0E6C262A" w14:textId="77777777" w:rsidR="00C16948" w:rsidRDefault="00C16948" w:rsidP="009F1150">
      <w:pPr>
        <w:spacing w:after="200"/>
        <w:rPr>
          <w:rFonts w:asciiTheme="minorHAnsi" w:hAnsiTheme="minorHAnsi"/>
          <w:sz w:val="22"/>
          <w:szCs w:val="22"/>
        </w:rPr>
      </w:pPr>
    </w:p>
    <w:p w14:paraId="4A68DEF5" w14:textId="34F18EEC" w:rsidR="000C6B13" w:rsidRDefault="0043109F" w:rsidP="009F1150">
      <w:pPr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2E1B4C">
        <w:rPr>
          <w:rFonts w:asciiTheme="minorHAnsi" w:hAnsiTheme="minorHAnsi"/>
          <w:sz w:val="22"/>
          <w:szCs w:val="22"/>
        </w:rPr>
        <w:t xml:space="preserve">thnic minority youth from all income levels are also exposed to higher levels of junk food marketing.  </w:t>
      </w:r>
      <w:r w:rsidR="00CC43BC">
        <w:rPr>
          <w:rFonts w:asciiTheme="minorHAnsi" w:hAnsiTheme="minorHAnsi"/>
          <w:sz w:val="22"/>
          <w:szCs w:val="22"/>
        </w:rPr>
        <w:t xml:space="preserve">In fact, while total spending for television advertising of food decreased slightly from 2013 to 2017, total food-related advertising for </w:t>
      </w:r>
      <w:r w:rsidR="00A721B2">
        <w:rPr>
          <w:rFonts w:asciiTheme="minorHAnsi" w:hAnsiTheme="minorHAnsi"/>
          <w:sz w:val="22"/>
          <w:szCs w:val="22"/>
        </w:rPr>
        <w:t>b</w:t>
      </w:r>
      <w:r w:rsidR="00CC43BC">
        <w:rPr>
          <w:rFonts w:asciiTheme="minorHAnsi" w:hAnsiTheme="minorHAnsi"/>
          <w:sz w:val="22"/>
          <w:szCs w:val="22"/>
        </w:rPr>
        <w:t>lack audiences increased by more than 50%.</w:t>
      </w:r>
      <w:r w:rsidR="00CC43BC">
        <w:rPr>
          <w:rStyle w:val="EndnoteReference"/>
          <w:rFonts w:asciiTheme="minorHAnsi" w:hAnsiTheme="minorHAnsi"/>
          <w:sz w:val="22"/>
          <w:szCs w:val="22"/>
        </w:rPr>
        <w:endnoteReference w:id="21"/>
      </w:r>
      <w:r w:rsidR="00CC43BC">
        <w:rPr>
          <w:rFonts w:asciiTheme="minorHAnsi" w:hAnsiTheme="minorHAnsi"/>
          <w:sz w:val="22"/>
          <w:szCs w:val="22"/>
        </w:rPr>
        <w:t xml:space="preserve">  </w:t>
      </w:r>
      <w:r w:rsidR="00B93571">
        <w:rPr>
          <w:rFonts w:asciiTheme="minorHAnsi" w:hAnsiTheme="minorHAnsi"/>
          <w:sz w:val="22"/>
          <w:szCs w:val="22"/>
        </w:rPr>
        <w:t xml:space="preserve">Marketers use cultural icons and appeal to ethnic identity to </w:t>
      </w:r>
      <w:r w:rsidR="002E1B4C">
        <w:rPr>
          <w:rFonts w:asciiTheme="minorHAnsi" w:hAnsiTheme="minorHAnsi"/>
          <w:sz w:val="22"/>
          <w:szCs w:val="22"/>
        </w:rPr>
        <w:t>promote unhealthy food and drink choices</w:t>
      </w:r>
      <w:r w:rsidR="00D9107B">
        <w:rPr>
          <w:rFonts w:asciiTheme="minorHAnsi" w:hAnsiTheme="minorHAnsi"/>
          <w:sz w:val="22"/>
          <w:szCs w:val="22"/>
        </w:rPr>
        <w:t xml:space="preserve"> </w:t>
      </w:r>
      <w:r w:rsidR="00B93571">
        <w:rPr>
          <w:rFonts w:asciiTheme="minorHAnsi" w:hAnsiTheme="minorHAnsi"/>
          <w:sz w:val="22"/>
          <w:szCs w:val="22"/>
        </w:rPr>
        <w:t xml:space="preserve">to </w:t>
      </w:r>
      <w:r w:rsidR="00A721B2">
        <w:rPr>
          <w:rFonts w:asciiTheme="minorHAnsi" w:hAnsiTheme="minorHAnsi"/>
          <w:sz w:val="22"/>
          <w:szCs w:val="22"/>
        </w:rPr>
        <w:t>b</w:t>
      </w:r>
      <w:r w:rsidR="00B93571">
        <w:rPr>
          <w:rFonts w:asciiTheme="minorHAnsi" w:hAnsiTheme="minorHAnsi"/>
          <w:sz w:val="22"/>
          <w:szCs w:val="22"/>
        </w:rPr>
        <w:t xml:space="preserve">lack and </w:t>
      </w:r>
      <w:r w:rsidR="00A721B2" w:rsidRPr="00A721B2">
        <w:rPr>
          <w:rFonts w:asciiTheme="minorHAnsi" w:hAnsiTheme="minorHAnsi"/>
          <w:sz w:val="22"/>
          <w:szCs w:val="22"/>
        </w:rPr>
        <w:t xml:space="preserve">Hispanic/Latino </w:t>
      </w:r>
      <w:r w:rsidR="00B93571">
        <w:rPr>
          <w:rFonts w:asciiTheme="minorHAnsi" w:hAnsiTheme="minorHAnsi"/>
          <w:sz w:val="22"/>
          <w:szCs w:val="22"/>
        </w:rPr>
        <w:t>youth.</w:t>
      </w:r>
      <w:r w:rsidR="00B93571">
        <w:rPr>
          <w:rStyle w:val="EndnoteReference"/>
          <w:rFonts w:asciiTheme="minorHAnsi" w:hAnsiTheme="minorHAnsi"/>
          <w:sz w:val="22"/>
          <w:szCs w:val="22"/>
        </w:rPr>
        <w:endnoteReference w:id="22"/>
      </w:r>
      <w:r w:rsidR="00B93571">
        <w:rPr>
          <w:rFonts w:asciiTheme="minorHAnsi" w:hAnsiTheme="minorHAnsi"/>
          <w:sz w:val="22"/>
          <w:szCs w:val="22"/>
        </w:rPr>
        <w:t xml:space="preserve"> </w:t>
      </w:r>
      <w:r w:rsidR="00D9107B">
        <w:rPr>
          <w:rFonts w:asciiTheme="minorHAnsi" w:hAnsiTheme="minorHAnsi"/>
          <w:sz w:val="22"/>
          <w:szCs w:val="22"/>
        </w:rPr>
        <w:t xml:space="preserve">  The majority of this advertising is for fast-food, candy, snack foods</w:t>
      </w:r>
      <w:r w:rsidR="00CC43BC">
        <w:rPr>
          <w:rFonts w:asciiTheme="minorHAnsi" w:hAnsiTheme="minorHAnsi"/>
          <w:sz w:val="22"/>
          <w:szCs w:val="22"/>
        </w:rPr>
        <w:t>,</w:t>
      </w:r>
      <w:r w:rsidR="00D9107B">
        <w:rPr>
          <w:rFonts w:asciiTheme="minorHAnsi" w:hAnsiTheme="minorHAnsi"/>
          <w:sz w:val="22"/>
          <w:szCs w:val="22"/>
        </w:rPr>
        <w:t xml:space="preserve"> or sugary drinks</w:t>
      </w:r>
      <w:r w:rsidR="00101281">
        <w:rPr>
          <w:rFonts w:asciiTheme="minorHAnsi" w:hAnsiTheme="minorHAnsi"/>
          <w:sz w:val="22"/>
          <w:szCs w:val="22"/>
        </w:rPr>
        <w:t>.</w:t>
      </w:r>
      <w:r w:rsidR="000A5F20">
        <w:rPr>
          <w:rStyle w:val="EndnoteReference"/>
          <w:rFonts w:asciiTheme="minorHAnsi" w:hAnsiTheme="minorHAnsi"/>
          <w:sz w:val="22"/>
          <w:szCs w:val="22"/>
        </w:rPr>
        <w:endnoteReference w:id="23"/>
      </w:r>
      <w:r w:rsidR="000A5F20">
        <w:rPr>
          <w:rFonts w:asciiTheme="minorHAnsi" w:hAnsiTheme="minorHAnsi"/>
          <w:sz w:val="22"/>
          <w:szCs w:val="22"/>
        </w:rPr>
        <w:t xml:space="preserve"> </w:t>
      </w:r>
      <w:r w:rsidR="002E1B4C">
        <w:rPr>
          <w:rFonts w:asciiTheme="minorHAnsi" w:hAnsiTheme="minorHAnsi"/>
          <w:sz w:val="22"/>
          <w:szCs w:val="22"/>
        </w:rPr>
        <w:t xml:space="preserve"> </w:t>
      </w:r>
    </w:p>
    <w:p w14:paraId="3B3836AE" w14:textId="43C54F8E" w:rsidR="0052438B" w:rsidRPr="004B4827" w:rsidRDefault="005D0718" w:rsidP="0052438B">
      <w:pPr>
        <w:rPr>
          <w:rFonts w:asciiTheme="minorHAnsi" w:hAnsiTheme="minorHAnsi"/>
          <w:color w:val="A50021"/>
          <w:sz w:val="28"/>
          <w:szCs w:val="28"/>
        </w:rPr>
      </w:pPr>
      <w:bookmarkStart w:id="3" w:name="_Hlk28862103"/>
      <w:r>
        <w:rPr>
          <w:rFonts w:asciiTheme="minorHAnsi" w:hAnsiTheme="minorHAnsi"/>
          <w:color w:val="A50021"/>
          <w:sz w:val="28"/>
          <w:szCs w:val="28"/>
        </w:rPr>
        <w:t xml:space="preserve">Policy </w:t>
      </w:r>
      <w:r w:rsidR="00E35228">
        <w:rPr>
          <w:rFonts w:asciiTheme="minorHAnsi" w:hAnsiTheme="minorHAnsi"/>
          <w:color w:val="A50021"/>
          <w:sz w:val="28"/>
          <w:szCs w:val="28"/>
        </w:rPr>
        <w:t>St</w:t>
      </w:r>
      <w:r w:rsidR="00304B5A">
        <w:rPr>
          <w:rFonts w:asciiTheme="minorHAnsi" w:hAnsiTheme="minorHAnsi"/>
          <w:color w:val="A50021"/>
          <w:sz w:val="28"/>
          <w:szCs w:val="28"/>
        </w:rPr>
        <w:t>rategies</w:t>
      </w:r>
      <w:r w:rsidR="00E35228">
        <w:rPr>
          <w:rFonts w:asciiTheme="minorHAnsi" w:hAnsiTheme="minorHAnsi"/>
          <w:color w:val="A50021"/>
          <w:sz w:val="28"/>
          <w:szCs w:val="28"/>
        </w:rPr>
        <w:t xml:space="preserve"> </w:t>
      </w:r>
      <w:r w:rsidR="00304B5A">
        <w:rPr>
          <w:rFonts w:asciiTheme="minorHAnsi" w:hAnsiTheme="minorHAnsi"/>
          <w:color w:val="A50021"/>
          <w:sz w:val="28"/>
          <w:szCs w:val="28"/>
        </w:rPr>
        <w:t>for More</w:t>
      </w:r>
      <w:r w:rsidR="00E35228">
        <w:rPr>
          <w:rFonts w:asciiTheme="minorHAnsi" w:hAnsiTheme="minorHAnsi"/>
          <w:color w:val="A50021"/>
          <w:sz w:val="28"/>
          <w:szCs w:val="28"/>
        </w:rPr>
        <w:t xml:space="preserve"> </w:t>
      </w:r>
      <w:r w:rsidR="0052438B">
        <w:rPr>
          <w:rFonts w:asciiTheme="minorHAnsi" w:hAnsiTheme="minorHAnsi"/>
          <w:color w:val="A50021"/>
          <w:sz w:val="28"/>
          <w:szCs w:val="28"/>
        </w:rPr>
        <w:t xml:space="preserve">Responsible Food </w:t>
      </w:r>
      <w:r w:rsidR="00C75026">
        <w:rPr>
          <w:rFonts w:asciiTheme="minorHAnsi" w:hAnsiTheme="minorHAnsi"/>
          <w:color w:val="A50021"/>
          <w:sz w:val="28"/>
          <w:szCs w:val="28"/>
        </w:rPr>
        <w:t xml:space="preserve">&amp; Beverage </w:t>
      </w:r>
      <w:r w:rsidR="0052438B">
        <w:rPr>
          <w:rFonts w:asciiTheme="minorHAnsi" w:hAnsiTheme="minorHAnsi"/>
          <w:color w:val="A50021"/>
          <w:sz w:val="28"/>
          <w:szCs w:val="28"/>
        </w:rPr>
        <w:t xml:space="preserve">Marketing to </w:t>
      </w:r>
      <w:r w:rsidR="00AC35F3">
        <w:rPr>
          <w:rFonts w:asciiTheme="minorHAnsi" w:hAnsiTheme="minorHAnsi"/>
          <w:color w:val="A50021"/>
          <w:sz w:val="28"/>
          <w:szCs w:val="28"/>
        </w:rPr>
        <w:t>Youth</w:t>
      </w:r>
    </w:p>
    <w:bookmarkEnd w:id="3"/>
    <w:p w14:paraId="4BDCE619" w14:textId="1903BC8A" w:rsidR="00E35228" w:rsidRPr="00304B5A" w:rsidRDefault="00E35228" w:rsidP="00101281">
      <w:pPr>
        <w:spacing w:after="240"/>
        <w:rPr>
          <w:rFonts w:asciiTheme="minorHAnsi" w:hAnsiTheme="minorHAnsi"/>
          <w:sz w:val="22"/>
          <w:szCs w:val="22"/>
        </w:rPr>
      </w:pPr>
      <w:r w:rsidRPr="00304B5A">
        <w:rPr>
          <w:rFonts w:asciiTheme="minorHAnsi" w:hAnsiTheme="minorHAnsi"/>
          <w:sz w:val="22"/>
          <w:szCs w:val="22"/>
        </w:rPr>
        <w:t xml:space="preserve">There is no single policy to effectively address the marketing of unhealthy foods </w:t>
      </w:r>
      <w:r w:rsidR="001D2D63" w:rsidRPr="00304B5A">
        <w:rPr>
          <w:rFonts w:asciiTheme="minorHAnsi" w:hAnsiTheme="minorHAnsi"/>
          <w:sz w:val="22"/>
          <w:szCs w:val="22"/>
        </w:rPr>
        <w:t xml:space="preserve">and beverages </w:t>
      </w:r>
      <w:r w:rsidRPr="00304B5A">
        <w:rPr>
          <w:rFonts w:asciiTheme="minorHAnsi" w:hAnsiTheme="minorHAnsi"/>
          <w:sz w:val="22"/>
          <w:szCs w:val="22"/>
        </w:rPr>
        <w:t>to youth</w:t>
      </w:r>
      <w:r w:rsidR="00E94E9E" w:rsidRPr="00304B5A">
        <w:rPr>
          <w:rFonts w:asciiTheme="minorHAnsi" w:hAnsiTheme="minorHAnsi"/>
          <w:sz w:val="22"/>
          <w:szCs w:val="22"/>
        </w:rPr>
        <w:t xml:space="preserve">.  </w:t>
      </w:r>
      <w:r w:rsidR="00AA25E4" w:rsidRPr="00304B5A">
        <w:rPr>
          <w:rFonts w:asciiTheme="minorHAnsi" w:hAnsiTheme="minorHAnsi"/>
          <w:sz w:val="22"/>
          <w:szCs w:val="22"/>
        </w:rPr>
        <w:t xml:space="preserve">ACS CAN supports the following </w:t>
      </w:r>
      <w:r w:rsidR="00880E58" w:rsidRPr="00304B5A">
        <w:rPr>
          <w:rFonts w:asciiTheme="minorHAnsi" w:hAnsiTheme="minorHAnsi"/>
          <w:sz w:val="22"/>
          <w:szCs w:val="22"/>
        </w:rPr>
        <w:t>recommendations</w:t>
      </w:r>
      <w:r w:rsidR="00F32F14" w:rsidRPr="00304B5A">
        <w:rPr>
          <w:rFonts w:asciiTheme="minorHAnsi" w:hAnsiTheme="minorHAnsi"/>
          <w:sz w:val="22"/>
          <w:szCs w:val="22"/>
        </w:rPr>
        <w:t xml:space="preserve"> as possible strategies to </w:t>
      </w:r>
      <w:r w:rsidR="002E7E8D" w:rsidRPr="00304B5A">
        <w:rPr>
          <w:rFonts w:asciiTheme="minorHAnsi" w:hAnsiTheme="minorHAnsi"/>
          <w:sz w:val="22"/>
          <w:szCs w:val="22"/>
        </w:rPr>
        <w:t>reduce the quantity of unhealthful marketing, mitigate the impact of unhealthy marketing that persist, and increasing healthier options</w:t>
      </w:r>
      <w:r w:rsidR="00A721B2">
        <w:rPr>
          <w:rFonts w:asciiTheme="minorHAnsi" w:hAnsiTheme="minorHAnsi"/>
          <w:sz w:val="22"/>
          <w:szCs w:val="22"/>
        </w:rPr>
        <w:t>.</w:t>
      </w:r>
    </w:p>
    <w:p w14:paraId="7E629A81" w14:textId="63BC52F1" w:rsidR="002E7E8D" w:rsidRPr="002E7E8D" w:rsidRDefault="00CC43BC" w:rsidP="002E7E8D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/>
          <w:sz w:val="22"/>
          <w:szCs w:val="22"/>
        </w:rPr>
      </w:pPr>
      <w:bookmarkStart w:id="4" w:name="_Hlk20932929"/>
      <w:bookmarkStart w:id="5" w:name="_Hlk18498580"/>
      <w:bookmarkStart w:id="6" w:name="_Hlk28862500"/>
      <w:r>
        <w:rPr>
          <w:rFonts w:asciiTheme="minorHAnsi" w:hAnsiTheme="minorHAnsi"/>
          <w:sz w:val="22"/>
          <w:szCs w:val="22"/>
        </w:rPr>
        <w:t xml:space="preserve">Support policies </w:t>
      </w:r>
      <w:bookmarkEnd w:id="4"/>
      <w:r w:rsidR="00C75026">
        <w:rPr>
          <w:rFonts w:asciiTheme="minorHAnsi" w:hAnsiTheme="minorHAnsi"/>
          <w:sz w:val="22"/>
          <w:szCs w:val="22"/>
        </w:rPr>
        <w:t>for</w:t>
      </w:r>
      <w:r w:rsidR="00C75026" w:rsidRPr="00F97AC1">
        <w:rPr>
          <w:rFonts w:asciiTheme="minorHAnsi" w:hAnsiTheme="minorHAnsi"/>
          <w:sz w:val="22"/>
          <w:szCs w:val="22"/>
        </w:rPr>
        <w:t xml:space="preserve"> healthy default options for kids’ meals by requiring that milk or water, instead of sodas, be offered as the default beverages.  </w:t>
      </w:r>
      <w:r w:rsidR="00C37F40">
        <w:rPr>
          <w:rFonts w:asciiTheme="minorHAnsi" w:hAnsiTheme="minorHAnsi"/>
          <w:sz w:val="22"/>
          <w:szCs w:val="22"/>
        </w:rPr>
        <w:t>The</w:t>
      </w:r>
      <w:r w:rsidR="00C75026">
        <w:rPr>
          <w:rFonts w:asciiTheme="minorHAnsi" w:hAnsiTheme="minorHAnsi"/>
          <w:sz w:val="22"/>
          <w:szCs w:val="22"/>
        </w:rPr>
        <w:t>se</w:t>
      </w:r>
      <w:r w:rsidR="00C37F40">
        <w:rPr>
          <w:rFonts w:asciiTheme="minorHAnsi" w:hAnsiTheme="minorHAnsi"/>
          <w:sz w:val="22"/>
          <w:szCs w:val="22"/>
        </w:rPr>
        <w:t xml:space="preserve"> policies may also require that fruit, vegetables or yogurt be offered as sides, instead of French fries or desserts.</w:t>
      </w:r>
    </w:p>
    <w:p w14:paraId="71A587DA" w14:textId="1D25C66D" w:rsidR="008B6866" w:rsidRPr="002E7E8D" w:rsidRDefault="00C700ED" w:rsidP="002E7E8D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/>
          <w:sz w:val="22"/>
          <w:szCs w:val="22"/>
        </w:rPr>
      </w:pPr>
      <w:bookmarkStart w:id="7" w:name="_Hlk20932994"/>
      <w:bookmarkEnd w:id="5"/>
      <w:r>
        <w:rPr>
          <w:rFonts w:asciiTheme="minorHAnsi" w:hAnsiTheme="minorHAnsi"/>
          <w:sz w:val="22"/>
          <w:szCs w:val="22"/>
        </w:rPr>
        <w:t>Advocate for policies that mandate</w:t>
      </w:r>
      <w:r w:rsidR="001D608D" w:rsidRPr="002E7E8D">
        <w:rPr>
          <w:rFonts w:asciiTheme="minorHAnsi" w:hAnsiTheme="minorHAnsi"/>
          <w:sz w:val="22"/>
          <w:szCs w:val="22"/>
        </w:rPr>
        <w:t xml:space="preserve"> </w:t>
      </w:r>
      <w:r w:rsidR="00BB75E8" w:rsidRPr="002E7E8D">
        <w:rPr>
          <w:rFonts w:asciiTheme="minorHAnsi" w:hAnsiTheme="minorHAnsi"/>
          <w:sz w:val="22"/>
          <w:szCs w:val="22"/>
        </w:rPr>
        <w:t>healthy vending</w:t>
      </w:r>
      <w:r w:rsidR="001D608D" w:rsidRPr="002E7E8D">
        <w:rPr>
          <w:rFonts w:asciiTheme="minorHAnsi" w:hAnsiTheme="minorHAnsi"/>
          <w:sz w:val="22"/>
          <w:szCs w:val="22"/>
        </w:rPr>
        <w:t xml:space="preserve"> in machines</w:t>
      </w:r>
      <w:r w:rsidR="00F32F14" w:rsidRPr="002E7E8D">
        <w:rPr>
          <w:rFonts w:asciiTheme="minorHAnsi" w:hAnsiTheme="minorHAnsi"/>
          <w:sz w:val="22"/>
          <w:szCs w:val="22"/>
        </w:rPr>
        <w:t xml:space="preserve">, </w:t>
      </w:r>
      <w:r w:rsidR="001D608D" w:rsidRPr="002E7E8D">
        <w:rPr>
          <w:rFonts w:asciiTheme="minorHAnsi" w:hAnsiTheme="minorHAnsi"/>
          <w:sz w:val="22"/>
          <w:szCs w:val="22"/>
        </w:rPr>
        <w:t xml:space="preserve">concession stands, </w:t>
      </w:r>
      <w:r w:rsidR="00F32F14" w:rsidRPr="002E7E8D">
        <w:rPr>
          <w:rFonts w:asciiTheme="minorHAnsi" w:hAnsiTheme="minorHAnsi"/>
          <w:sz w:val="22"/>
          <w:szCs w:val="22"/>
        </w:rPr>
        <w:t>or</w:t>
      </w:r>
      <w:r w:rsidR="001D608D" w:rsidRPr="002E7E8D">
        <w:rPr>
          <w:rFonts w:asciiTheme="minorHAnsi" w:hAnsiTheme="minorHAnsi"/>
          <w:sz w:val="22"/>
          <w:szCs w:val="22"/>
        </w:rPr>
        <w:t xml:space="preserve"> cafeteria</w:t>
      </w:r>
      <w:r w:rsidR="00F32F14" w:rsidRPr="002E7E8D">
        <w:rPr>
          <w:rFonts w:asciiTheme="minorHAnsi" w:hAnsiTheme="minorHAnsi"/>
          <w:sz w:val="22"/>
          <w:szCs w:val="22"/>
        </w:rPr>
        <w:t>s</w:t>
      </w:r>
      <w:r w:rsidR="001D608D" w:rsidRPr="002E7E8D">
        <w:rPr>
          <w:rFonts w:asciiTheme="minorHAnsi" w:hAnsiTheme="minorHAnsi"/>
          <w:sz w:val="22"/>
          <w:szCs w:val="22"/>
        </w:rPr>
        <w:t xml:space="preserve"> </w:t>
      </w:r>
      <w:r w:rsidR="00F32F14" w:rsidRPr="002E7E8D">
        <w:rPr>
          <w:rFonts w:asciiTheme="minorHAnsi" w:hAnsiTheme="minorHAnsi"/>
          <w:sz w:val="22"/>
          <w:szCs w:val="22"/>
        </w:rPr>
        <w:t xml:space="preserve">in all public places, public parks, recreation facilities, and </w:t>
      </w:r>
      <w:r w:rsidR="00A721B2">
        <w:rPr>
          <w:rFonts w:asciiTheme="minorHAnsi" w:hAnsiTheme="minorHAnsi"/>
          <w:sz w:val="22"/>
          <w:szCs w:val="22"/>
        </w:rPr>
        <w:t xml:space="preserve">other </w:t>
      </w:r>
      <w:r w:rsidR="00F32F14" w:rsidRPr="002E7E8D">
        <w:rPr>
          <w:rFonts w:asciiTheme="minorHAnsi" w:hAnsiTheme="minorHAnsi"/>
          <w:sz w:val="22"/>
          <w:szCs w:val="22"/>
        </w:rPr>
        <w:t>government</w:t>
      </w:r>
      <w:r w:rsidR="00B079BE">
        <w:rPr>
          <w:rFonts w:asciiTheme="minorHAnsi" w:hAnsiTheme="minorHAnsi"/>
          <w:sz w:val="22"/>
          <w:szCs w:val="22"/>
        </w:rPr>
        <w:t xml:space="preserve"> </w:t>
      </w:r>
      <w:r w:rsidR="00A721B2">
        <w:rPr>
          <w:rFonts w:asciiTheme="minorHAnsi" w:hAnsiTheme="minorHAnsi"/>
          <w:sz w:val="22"/>
          <w:szCs w:val="22"/>
        </w:rPr>
        <w:t>sites</w:t>
      </w:r>
      <w:r w:rsidR="00BB75E8" w:rsidRPr="002E7E8D">
        <w:rPr>
          <w:rFonts w:asciiTheme="minorHAnsi" w:hAnsiTheme="minorHAnsi"/>
          <w:sz w:val="22"/>
          <w:szCs w:val="22"/>
        </w:rPr>
        <w:t>.</w:t>
      </w:r>
    </w:p>
    <w:p w14:paraId="225660CC" w14:textId="760874F9" w:rsidR="00C700ED" w:rsidRPr="002E7E8D" w:rsidRDefault="00C37F40" w:rsidP="00C700ED">
      <w:pPr>
        <w:pStyle w:val="ListParagraph"/>
        <w:numPr>
          <w:ilvl w:val="0"/>
          <w:numId w:val="13"/>
        </w:numPr>
        <w:spacing w:after="200"/>
        <w:rPr>
          <w:rFonts w:asciiTheme="minorHAnsi" w:hAnsiTheme="minorHAnsi"/>
          <w:sz w:val="22"/>
          <w:szCs w:val="22"/>
        </w:rPr>
      </w:pPr>
      <w:bookmarkStart w:id="8" w:name="_Hlk20933058"/>
      <w:bookmarkEnd w:id="7"/>
      <w:r>
        <w:rPr>
          <w:rFonts w:asciiTheme="minorHAnsi" w:hAnsiTheme="minorHAnsi"/>
          <w:sz w:val="22"/>
          <w:szCs w:val="22"/>
        </w:rPr>
        <w:t>Support policies that require</w:t>
      </w:r>
      <w:r w:rsidR="00C700ED" w:rsidRPr="002E7E8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all food </w:t>
      </w:r>
      <w:r w:rsidR="00C700ED" w:rsidRPr="002E7E8D">
        <w:rPr>
          <w:rFonts w:asciiTheme="minorHAnsi" w:hAnsiTheme="minorHAnsi"/>
          <w:sz w:val="22"/>
          <w:szCs w:val="22"/>
        </w:rPr>
        <w:t>market</w:t>
      </w:r>
      <w:r>
        <w:rPr>
          <w:rFonts w:asciiTheme="minorHAnsi" w:hAnsiTheme="minorHAnsi"/>
          <w:sz w:val="22"/>
          <w:szCs w:val="22"/>
        </w:rPr>
        <w:t>ed</w:t>
      </w:r>
      <w:r w:rsidR="00C700ED" w:rsidRPr="002E7E8D">
        <w:rPr>
          <w:rFonts w:asciiTheme="minorHAnsi" w:hAnsiTheme="minorHAnsi"/>
          <w:sz w:val="22"/>
          <w:szCs w:val="22"/>
        </w:rPr>
        <w:t xml:space="preserve"> </w:t>
      </w:r>
      <w:r w:rsidR="00C700ED">
        <w:rPr>
          <w:rFonts w:asciiTheme="minorHAnsi" w:hAnsiTheme="minorHAnsi"/>
          <w:sz w:val="22"/>
          <w:szCs w:val="22"/>
        </w:rPr>
        <w:t xml:space="preserve">in schools </w:t>
      </w:r>
      <w:r w:rsidR="00C700ED" w:rsidRPr="002E7E8D">
        <w:rPr>
          <w:rFonts w:asciiTheme="minorHAnsi" w:hAnsiTheme="minorHAnsi"/>
          <w:sz w:val="22"/>
          <w:szCs w:val="22"/>
        </w:rPr>
        <w:t xml:space="preserve">meet the </w:t>
      </w:r>
      <w:r w:rsidR="00C700ED">
        <w:rPr>
          <w:rFonts w:asciiTheme="minorHAnsi" w:hAnsiTheme="minorHAnsi"/>
          <w:sz w:val="22"/>
          <w:szCs w:val="22"/>
        </w:rPr>
        <w:t xml:space="preserve">U.S. Department of Agriculture’s </w:t>
      </w:r>
      <w:r w:rsidR="00C700ED" w:rsidRPr="002E7E8D">
        <w:rPr>
          <w:rFonts w:asciiTheme="minorHAnsi" w:hAnsiTheme="minorHAnsi"/>
          <w:sz w:val="22"/>
          <w:szCs w:val="22"/>
        </w:rPr>
        <w:t>Smart Snacks</w:t>
      </w:r>
      <w:r w:rsidR="00C700ED">
        <w:rPr>
          <w:rFonts w:asciiTheme="minorHAnsi" w:hAnsiTheme="minorHAnsi"/>
          <w:sz w:val="22"/>
          <w:szCs w:val="22"/>
        </w:rPr>
        <w:t xml:space="preserve"> in School nutrition standards</w:t>
      </w:r>
      <w:r w:rsidR="00C700ED" w:rsidRPr="002E7E8D">
        <w:rPr>
          <w:rFonts w:asciiTheme="minorHAnsi" w:hAnsiTheme="minorHAnsi"/>
          <w:sz w:val="22"/>
          <w:szCs w:val="22"/>
        </w:rPr>
        <w:t>.</w:t>
      </w:r>
    </w:p>
    <w:bookmarkEnd w:id="6"/>
    <w:bookmarkEnd w:id="8"/>
    <w:p w14:paraId="7BA60DB6" w14:textId="77777777" w:rsidR="00C700ED" w:rsidRPr="002E7E8D" w:rsidRDefault="00C700ED" w:rsidP="00C37F40">
      <w:pPr>
        <w:pStyle w:val="ListParagraph"/>
        <w:spacing w:after="200"/>
        <w:rPr>
          <w:rFonts w:asciiTheme="minorHAnsi" w:hAnsiTheme="minorHAnsi"/>
          <w:sz w:val="22"/>
          <w:szCs w:val="22"/>
        </w:rPr>
      </w:pPr>
    </w:p>
    <w:p w14:paraId="2690573B" w14:textId="77777777" w:rsidR="00B079BE" w:rsidRPr="002F2057" w:rsidRDefault="00B079BE" w:rsidP="00B079BE">
      <w:pPr>
        <w:rPr>
          <w:rFonts w:asciiTheme="minorHAnsi" w:hAnsiTheme="minorHAnsi"/>
          <w:sz w:val="22"/>
          <w:szCs w:val="22"/>
        </w:rPr>
      </w:pPr>
      <w:r w:rsidRPr="00494BF5">
        <w:rPr>
          <w:rFonts w:asciiTheme="minorHAnsi" w:hAnsiTheme="minorHAnsi"/>
          <w:i/>
          <w:sz w:val="22"/>
          <w:szCs w:val="22"/>
        </w:rPr>
        <w:t xml:space="preserve">For more information on ACS CAN’s advocacy work around healthy eating and active living environments, please visit </w:t>
      </w:r>
      <w:hyperlink r:id="rId8" w:history="1">
        <w:r w:rsidRPr="007A793D">
          <w:rPr>
            <w:rStyle w:val="Hyperlink"/>
            <w:rFonts w:asciiTheme="minorHAnsi" w:hAnsiTheme="minorHAnsi"/>
            <w:i/>
            <w:sz w:val="22"/>
            <w:szCs w:val="22"/>
          </w:rPr>
          <w:t>https://www.fightcancer.org/what-we-do/healthy-eating-and-active-living</w:t>
        </w:r>
      </w:hyperlink>
      <w:r>
        <w:rPr>
          <w:rFonts w:asciiTheme="minorHAnsi" w:hAnsiTheme="minorHAnsi"/>
          <w:i/>
          <w:sz w:val="22"/>
          <w:szCs w:val="22"/>
        </w:rPr>
        <w:t xml:space="preserve">. </w:t>
      </w:r>
      <w:r>
        <w:rPr>
          <w:rFonts w:asciiTheme="minorHAnsi" w:hAnsiTheme="minorHAnsi"/>
          <w:b/>
          <w:i/>
          <w:sz w:val="22"/>
          <w:szCs w:val="22"/>
        </w:rPr>
        <w:t xml:space="preserve">  </w:t>
      </w:r>
    </w:p>
    <w:p w14:paraId="47A3D220" w14:textId="45B979C9" w:rsidR="00A721B2" w:rsidRPr="00A721B2" w:rsidRDefault="00A721B2" w:rsidP="00A721B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sectPr w:rsidR="00A721B2" w:rsidRPr="00A721B2" w:rsidSect="008E32B8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720" w:bottom="432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DED50" w14:textId="77777777" w:rsidR="007075C9" w:rsidRDefault="007075C9" w:rsidP="008B1477">
      <w:r>
        <w:separator/>
      </w:r>
    </w:p>
  </w:endnote>
  <w:endnote w:type="continuationSeparator" w:id="0">
    <w:p w14:paraId="321B216D" w14:textId="77777777" w:rsidR="007075C9" w:rsidRDefault="007075C9" w:rsidP="008B1477">
      <w:r>
        <w:continuationSeparator/>
      </w:r>
    </w:p>
  </w:endnote>
  <w:endnote w:id="1">
    <w:p w14:paraId="321CB68C" w14:textId="2E9E0304" w:rsidR="00F27326" w:rsidRDefault="00F27326">
      <w:pPr>
        <w:pStyle w:val="EndnoteText"/>
      </w:pPr>
      <w:r>
        <w:rPr>
          <w:rStyle w:val="EndnoteReference"/>
        </w:rPr>
        <w:endnoteRef/>
      </w:r>
      <w:r>
        <w:t xml:space="preserve"> American Cancer Society. (2019) Cancer Facts and Figures, 2019. Atlanta, GA: American Cancer Society</w:t>
      </w:r>
    </w:p>
  </w:endnote>
  <w:endnote w:id="2">
    <w:p w14:paraId="055D2722" w14:textId="1E729EDF" w:rsidR="00F27326" w:rsidRDefault="00F27326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Lauby-Secretan</w:t>
      </w:r>
      <w:proofErr w:type="spellEnd"/>
      <w:r>
        <w:t xml:space="preserve">, B., </w:t>
      </w:r>
      <w:proofErr w:type="spellStart"/>
      <w:r>
        <w:t>Scoccianti</w:t>
      </w:r>
      <w:proofErr w:type="spellEnd"/>
      <w:r>
        <w:t xml:space="preserve">, C., Loomis, D., Grosse, Y., </w:t>
      </w:r>
      <w:proofErr w:type="spellStart"/>
      <w:r>
        <w:t>Bianchini</w:t>
      </w:r>
      <w:proofErr w:type="spellEnd"/>
      <w:r>
        <w:t xml:space="preserve">, F., </w:t>
      </w:r>
      <w:proofErr w:type="spellStart"/>
      <w:r>
        <w:t>Straif</w:t>
      </w:r>
      <w:proofErr w:type="spellEnd"/>
      <w:r>
        <w:t xml:space="preserve">, K. (2016) Body fatness and cancer—viewpoint of the IARC Working Group. </w:t>
      </w:r>
      <w:r w:rsidRPr="0003398B">
        <w:rPr>
          <w:i/>
        </w:rPr>
        <w:t>New England Journal of Medicine</w:t>
      </w:r>
      <w:r>
        <w:t>. 375:794-798. doi:10.1056/NEJMsr1606602</w:t>
      </w:r>
    </w:p>
  </w:endnote>
  <w:endnote w:id="3">
    <w:p w14:paraId="0AA2A51D" w14:textId="41CC9C72" w:rsidR="00F27326" w:rsidRDefault="00F27326">
      <w:pPr>
        <w:pStyle w:val="EndnoteText"/>
      </w:pPr>
      <w:r>
        <w:rPr>
          <w:rStyle w:val="EndnoteReference"/>
        </w:rPr>
        <w:endnoteRef/>
      </w:r>
      <w:r>
        <w:t xml:space="preserve"> Trust for America’s Health. (2016). </w:t>
      </w:r>
      <w:r w:rsidRPr="006F1CBA">
        <w:rPr>
          <w:i/>
        </w:rPr>
        <w:t>The state of obesity: better policies for a healthier America 2016</w:t>
      </w:r>
      <w:r>
        <w:t>. Retrieved from https://media.stateofobesity.org/wp-content/uploads/2019/02/19162040/stateofobesity2016.pdf</w:t>
      </w:r>
    </w:p>
  </w:endnote>
  <w:endnote w:id="4">
    <w:p w14:paraId="3AA46351" w14:textId="0719E125" w:rsidR="00F27326" w:rsidRDefault="00F27326">
      <w:pPr>
        <w:pStyle w:val="EndnoteText"/>
      </w:pPr>
      <w:r>
        <w:rPr>
          <w:rStyle w:val="EndnoteReference"/>
        </w:rPr>
        <w:endnoteRef/>
      </w:r>
      <w:r>
        <w:t xml:space="preserve"> Fryar, C.D., Carroll, M.D., Ogden, C. (2018) </w:t>
      </w:r>
      <w:r w:rsidRPr="00F6759D">
        <w:rPr>
          <w:i/>
        </w:rPr>
        <w:t>Prevalence of overweight, obesity, and severe obesity among children and adolescents aged 2-19 years: United States, 1963-1965 through 2015-2016</w:t>
      </w:r>
      <w:r>
        <w:t xml:space="preserve">. Centers for Disease Control and Prevention (CDC). Retrieved from </w:t>
      </w:r>
      <w:hyperlink r:id="rId1" w:history="1">
        <w:r w:rsidRPr="00D55D9B">
          <w:rPr>
            <w:rStyle w:val="Hyperlink"/>
          </w:rPr>
          <w:t>https://www.cdc.gov/nchs/data/hestat/obesity_child_15_16/obesity_child_15_16.pdf</w:t>
        </w:r>
      </w:hyperlink>
    </w:p>
  </w:endnote>
  <w:endnote w:id="5">
    <w:p w14:paraId="76F9573F" w14:textId="27A74853" w:rsidR="00F27326" w:rsidRDefault="00F27326">
      <w:pPr>
        <w:pStyle w:val="EndnoteText"/>
      </w:pPr>
      <w:r>
        <w:rPr>
          <w:rStyle w:val="EndnoteReference"/>
        </w:rPr>
        <w:endnoteRef/>
      </w:r>
      <w:r>
        <w:t xml:space="preserve"> Fryar, C.D., Carroll, M.D., Ogden, C. </w:t>
      </w:r>
      <w:r w:rsidRPr="00F6759D">
        <w:rPr>
          <w:i/>
        </w:rPr>
        <w:t>Prevalence of overweight, obesity, and sever</w:t>
      </w:r>
      <w:r>
        <w:rPr>
          <w:i/>
        </w:rPr>
        <w:t>e</w:t>
      </w:r>
      <w:r w:rsidRPr="00F6759D">
        <w:rPr>
          <w:i/>
        </w:rPr>
        <w:t xml:space="preserve"> obesity among adults aged 20 and over: United States, 1960-1962 through 2015-2016.</w:t>
      </w:r>
      <w:r>
        <w:t xml:space="preserve"> Centers for Disease Control and Prevention (CDC). Retrieved from </w:t>
      </w:r>
      <w:hyperlink r:id="rId2" w:history="1">
        <w:r w:rsidRPr="00D55D9B">
          <w:rPr>
            <w:rStyle w:val="Hyperlink"/>
          </w:rPr>
          <w:t>https://www.cdc.gov/nchs/data/hestat/obesity_adult_15_16/obesity_adult_15_16.pdf</w:t>
        </w:r>
      </w:hyperlink>
      <w:r>
        <w:t xml:space="preserve">  </w:t>
      </w:r>
    </w:p>
  </w:endnote>
  <w:endnote w:id="6">
    <w:p w14:paraId="5611D402" w14:textId="2D8E3642" w:rsidR="00F27326" w:rsidRDefault="00F27326">
      <w:pPr>
        <w:pStyle w:val="EndnoteText"/>
      </w:pPr>
      <w:r>
        <w:rPr>
          <w:rStyle w:val="EndnoteReference"/>
        </w:rPr>
        <w:endnoteRef/>
      </w:r>
      <w:r>
        <w:t xml:space="preserve"> Via, M. (2012). The malnutrition of obesity: micronutrient deficiencies that promote diabetes. ISRN Endocrinology. 2012: 103472. doi:10:5402/2012/103472</w:t>
      </w:r>
    </w:p>
  </w:endnote>
  <w:endnote w:id="7">
    <w:p w14:paraId="46E8F41C" w14:textId="77777777" w:rsidR="00F27326" w:rsidRDefault="00F27326" w:rsidP="00CD6D0E">
      <w:pPr>
        <w:pStyle w:val="EndnoteText"/>
      </w:pPr>
      <w:r>
        <w:rPr>
          <w:rStyle w:val="EndnoteReference"/>
        </w:rPr>
        <w:endnoteRef/>
      </w:r>
      <w:r>
        <w:t xml:space="preserve"> Beauchamp, G.K. &amp; Mennella, J.A. (2009) Early flavor learning and its impact on later feeding behavior. </w:t>
      </w:r>
      <w:r w:rsidRPr="00C3507D">
        <w:rPr>
          <w:i/>
        </w:rPr>
        <w:t>Journal of Pediatric Gastroenterology and Nutrition</w:t>
      </w:r>
      <w:r>
        <w:t>. 48:S25-S30.</w:t>
      </w:r>
    </w:p>
  </w:endnote>
  <w:endnote w:id="8">
    <w:p w14:paraId="4D122C99" w14:textId="53D23B4A" w:rsidR="00F27326" w:rsidRDefault="00F27326">
      <w:pPr>
        <w:pStyle w:val="EndnoteText"/>
      </w:pPr>
      <w:r>
        <w:rPr>
          <w:rStyle w:val="EndnoteReference"/>
        </w:rPr>
        <w:endnoteRef/>
      </w:r>
      <w:r>
        <w:t xml:space="preserve"> Sahoo, K., Sahoo, B., Choudhury, A.K., Sofi, N.Y., Kumar, R., </w:t>
      </w:r>
      <w:proofErr w:type="spellStart"/>
      <w:r>
        <w:t>Bhadoria</w:t>
      </w:r>
      <w:proofErr w:type="spellEnd"/>
      <w:r>
        <w:t xml:space="preserve">, A.S. (2015). Childhood obesity: causes and consequences. </w:t>
      </w:r>
      <w:r w:rsidRPr="003E054B">
        <w:rPr>
          <w:i/>
        </w:rPr>
        <w:t>Journal of Family Medicine and Primary Care</w:t>
      </w:r>
      <w:r>
        <w:t xml:space="preserve">. 4(2), 187-192. </w:t>
      </w:r>
      <w:proofErr w:type="spellStart"/>
      <w:r>
        <w:t>doi</w:t>
      </w:r>
      <w:proofErr w:type="spellEnd"/>
      <w:r>
        <w:t>: 10.4103/2249-4863.154628</w:t>
      </w:r>
    </w:p>
  </w:endnote>
  <w:endnote w:id="9">
    <w:p w14:paraId="1949DBD6" w14:textId="5F5927E8" w:rsidR="00F27326" w:rsidRDefault="00F27326" w:rsidP="00C93F6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76C08">
        <w:t>Ibid.</w:t>
      </w:r>
    </w:p>
  </w:endnote>
  <w:endnote w:id="10">
    <w:p w14:paraId="39485AB8" w14:textId="0DAEA922" w:rsidR="00F27326" w:rsidRDefault="00F27326" w:rsidP="00C93F6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76C08">
        <w:t>I</w:t>
      </w:r>
      <w:r>
        <w:t>bid.</w:t>
      </w:r>
    </w:p>
  </w:endnote>
  <w:endnote w:id="11">
    <w:p w14:paraId="1051AAAF" w14:textId="2C84DF52" w:rsidR="00F27326" w:rsidRDefault="00F2732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A76EA">
        <w:t xml:space="preserve">American Cancer Society. </w:t>
      </w:r>
      <w:r>
        <w:t xml:space="preserve">(2011) </w:t>
      </w:r>
      <w:r w:rsidRPr="002A76EA">
        <w:rPr>
          <w:i/>
        </w:rPr>
        <w:t>Comment Letter to Federal Trade Commission on “Interagency Working Group on Food Marketed: Proposed Nutrition Principles FTC Project No. P094513”</w:t>
      </w:r>
      <w:r w:rsidRPr="002A76EA">
        <w:t xml:space="preserve">. </w:t>
      </w:r>
      <w:r>
        <w:t>Retrieved from</w:t>
      </w:r>
      <w:r w:rsidRPr="002A76EA">
        <w:t xml:space="preserve"> http</w:t>
      </w:r>
      <w:r>
        <w:t>s</w:t>
      </w:r>
      <w:r w:rsidRPr="002A76EA">
        <w:t>://www.</w:t>
      </w:r>
      <w:r>
        <w:t>fightcancer</w:t>
      </w:r>
      <w:r w:rsidRPr="002A76EA">
        <w:t>.org/</w:t>
      </w:r>
      <w:r>
        <w:t>sites/National%20Documents/</w:t>
      </w:r>
      <w:r w:rsidRPr="002A76EA">
        <w:t xml:space="preserve"> ACS-CAN-Comments-on-IWG-Proposed-Nutrition-Principles-for-Food-Marketing</w:t>
      </w:r>
      <w:r>
        <w:t>-to-Children-7-14-11.pdf</w:t>
      </w:r>
      <w:r w:rsidRPr="002A76EA">
        <w:t xml:space="preserve">  </w:t>
      </w:r>
    </w:p>
  </w:endnote>
  <w:endnote w:id="12">
    <w:p w14:paraId="1E460D78" w14:textId="0E87FEA3" w:rsidR="00F27326" w:rsidRDefault="00F27326">
      <w:pPr>
        <w:pStyle w:val="EndnoteText"/>
      </w:pPr>
      <w:r>
        <w:rPr>
          <w:rStyle w:val="EndnoteReference"/>
        </w:rPr>
        <w:endnoteRef/>
      </w:r>
      <w:r>
        <w:t xml:space="preserve"> Harris, J.L., Frazier, W., III, Kumanyika, S., Ramirez, A.G. (2019). </w:t>
      </w:r>
      <w:r w:rsidRPr="00C9689B">
        <w:rPr>
          <w:i/>
        </w:rPr>
        <w:t>Increasing disparities in unhealthy food advertising targeted to Hispanic and Black youth.</w:t>
      </w:r>
      <w:r>
        <w:t xml:space="preserve"> Report prepared for UConn Rudd Center for Food Policy &amp; Obesity. Retrieved from </w:t>
      </w:r>
      <w:hyperlink r:id="rId3" w:history="1">
        <w:r w:rsidRPr="00D55D9B">
          <w:rPr>
            <w:rStyle w:val="Hyperlink"/>
          </w:rPr>
          <w:t>www.uconnruddcenter.org/targeted-marketing</w:t>
        </w:r>
      </w:hyperlink>
      <w:r>
        <w:t xml:space="preserve">   </w:t>
      </w:r>
    </w:p>
  </w:endnote>
  <w:endnote w:id="13">
    <w:p w14:paraId="5F341066" w14:textId="77777777" w:rsidR="00F27326" w:rsidRDefault="00F27326">
      <w:pPr>
        <w:pStyle w:val="EndnoteText"/>
      </w:pPr>
      <w:r>
        <w:rPr>
          <w:rStyle w:val="EndnoteReference"/>
        </w:rPr>
        <w:endnoteRef/>
      </w:r>
      <w:r>
        <w:t xml:space="preserve"> Berkeley Media Studies Group. (2017) </w:t>
      </w:r>
      <w:r w:rsidRPr="001D037D">
        <w:rPr>
          <w:i/>
        </w:rPr>
        <w:t xml:space="preserve">Health equity &amp; junk food marketing: Talking about targeting kids of color. A framing brief from </w:t>
      </w:r>
      <w:r>
        <w:rPr>
          <w:i/>
        </w:rPr>
        <w:t>B</w:t>
      </w:r>
      <w:r w:rsidRPr="001D037D">
        <w:rPr>
          <w:i/>
        </w:rPr>
        <w:t>erkeley Media Studies Group.</w:t>
      </w:r>
      <w:r>
        <w:rPr>
          <w:i/>
        </w:rPr>
        <w:t xml:space="preserve"> </w:t>
      </w:r>
      <w:r>
        <w:t xml:space="preserve">Berkeley Media Studies Group, a project of the Public Health Institute. Berkeley, CA.  Retrieved from </w:t>
      </w:r>
      <w:hyperlink r:id="rId4" w:history="1">
        <w:r w:rsidRPr="00D55D9B">
          <w:rPr>
            <w:rStyle w:val="Hyperlink"/>
          </w:rPr>
          <w:t>www.bmsg.org/resources/publications/health-equity-junk-food-marking-talking-about-targeting-kids-color/</w:t>
        </w:r>
      </w:hyperlink>
    </w:p>
  </w:endnote>
  <w:endnote w:id="14">
    <w:p w14:paraId="1A8CD9F4" w14:textId="57096B76" w:rsidR="00F27326" w:rsidRDefault="00F2732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76C08">
        <w:t>I</w:t>
      </w:r>
      <w:r>
        <w:t>bid.</w:t>
      </w:r>
      <w:bookmarkStart w:id="1" w:name="_GoBack"/>
      <w:bookmarkEnd w:id="1"/>
    </w:p>
  </w:endnote>
  <w:endnote w:id="15">
    <w:p w14:paraId="76288F96" w14:textId="20263626" w:rsidR="00F27326" w:rsidRDefault="00F2732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76C08">
        <w:t>I</w:t>
      </w:r>
      <w:r>
        <w:t xml:space="preserve">bid. </w:t>
      </w:r>
    </w:p>
  </w:endnote>
  <w:endnote w:id="16">
    <w:p w14:paraId="376B7680" w14:textId="57674471" w:rsidR="00F27326" w:rsidRDefault="00F27326">
      <w:pPr>
        <w:pStyle w:val="EndnoteText"/>
      </w:pPr>
      <w:r>
        <w:rPr>
          <w:rStyle w:val="EndnoteReference"/>
        </w:rPr>
        <w:endnoteRef/>
      </w:r>
      <w:r>
        <w:t xml:space="preserve"> Powell, L.M., Wada, R., Kumanyika, S. (2014) Rachial/ethnic and income disparities in child and adolescent exposure to food and beverage television ads across the U.S media markets. </w:t>
      </w:r>
      <w:r w:rsidRPr="00B222FF">
        <w:rPr>
          <w:i/>
        </w:rPr>
        <w:t>Health &amp; Place</w:t>
      </w:r>
      <w:r>
        <w:t xml:space="preserve">. 20:124-131. </w:t>
      </w:r>
      <w:proofErr w:type="spellStart"/>
      <w:r>
        <w:t>doi</w:t>
      </w:r>
      <w:proofErr w:type="spellEnd"/>
      <w:r>
        <w:t>: 10.1016/j.healthplace.2014.01.006</w:t>
      </w:r>
    </w:p>
  </w:endnote>
  <w:endnote w:id="17">
    <w:p w14:paraId="0912E00C" w14:textId="40902C30" w:rsidR="00F27326" w:rsidRDefault="00F27326">
      <w:pPr>
        <w:pStyle w:val="EndnoteText"/>
      </w:pPr>
      <w:r>
        <w:rPr>
          <w:rStyle w:val="EndnoteReference"/>
        </w:rPr>
        <w:endnoteRef/>
      </w:r>
      <w:r>
        <w:t xml:space="preserve"> Harris, J., Heard, A., Schwartz, M. (2014) Older but still vulnerable: All children need protection from unhealthy food marketing.  </w:t>
      </w:r>
      <w:r w:rsidRPr="004C79A3">
        <w:rPr>
          <w:i/>
        </w:rPr>
        <w:t>Yale Rudd Center for Food Policy &amp; Obesity</w:t>
      </w:r>
      <w:r>
        <w:t>.  Retrieved from www.uconnruddcenter.org/files/Pdfs/Protecting_Older_Children_3_14.pdf</w:t>
      </w:r>
    </w:p>
  </w:endnote>
  <w:endnote w:id="18">
    <w:p w14:paraId="411F7614" w14:textId="6ABC6627" w:rsidR="00F27326" w:rsidRDefault="00F2732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76C08">
        <w:t>I</w:t>
      </w:r>
      <w:r>
        <w:t>bid.</w:t>
      </w:r>
    </w:p>
  </w:endnote>
  <w:endnote w:id="19">
    <w:p w14:paraId="6FD99A38" w14:textId="39243FE1" w:rsidR="00F27326" w:rsidRDefault="00F27326" w:rsidP="0043109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76C08">
        <w:t>I</w:t>
      </w:r>
      <w:r>
        <w:t>bid.</w:t>
      </w:r>
    </w:p>
  </w:endnote>
  <w:endnote w:id="20">
    <w:p w14:paraId="39D07ACB" w14:textId="2DBB1910" w:rsidR="00F27326" w:rsidRDefault="00F27326" w:rsidP="00EB4447">
      <w:pPr>
        <w:pStyle w:val="EndnoteText"/>
      </w:pPr>
      <w:r>
        <w:rPr>
          <w:rStyle w:val="EndnoteReference"/>
        </w:rPr>
        <w:endnoteRef/>
      </w:r>
      <w:r>
        <w:t xml:space="preserve"> </w:t>
      </w:r>
      <w:bookmarkStart w:id="2" w:name="_Hlk20929012"/>
      <w:r>
        <w:t xml:space="preserve">Trust for America’s Health. (2016). </w:t>
      </w:r>
      <w:r w:rsidRPr="006F1CBA">
        <w:rPr>
          <w:i/>
        </w:rPr>
        <w:t>The state of obesity: better policies for a healthier America 2016</w:t>
      </w:r>
      <w:r>
        <w:t>. Retrieved from https://media.stateofobesity.org/wp-content/uploads/2019/02/19162040/stateofobesity2016.pdf</w:t>
      </w:r>
    </w:p>
    <w:bookmarkEnd w:id="2"/>
  </w:endnote>
  <w:endnote w:id="21">
    <w:p w14:paraId="1780E701" w14:textId="2218FBF6" w:rsidR="00F27326" w:rsidRDefault="00F27326" w:rsidP="00CC43B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751E0">
        <w:t>I</w:t>
      </w:r>
      <w:r>
        <w:t>bid.</w:t>
      </w:r>
    </w:p>
  </w:endnote>
  <w:endnote w:id="22">
    <w:p w14:paraId="52F3EB4C" w14:textId="19064AE5" w:rsidR="00F27326" w:rsidRDefault="00F27326">
      <w:pPr>
        <w:pStyle w:val="EndnoteText"/>
      </w:pPr>
      <w:r>
        <w:rPr>
          <w:rStyle w:val="EndnoteReference"/>
        </w:rPr>
        <w:endnoteRef/>
      </w:r>
      <w:r>
        <w:t xml:space="preserve"> Kramer, K., </w:t>
      </w:r>
      <w:proofErr w:type="spellStart"/>
      <w:r>
        <w:t>Schwarte</w:t>
      </w:r>
      <w:proofErr w:type="spellEnd"/>
      <w:r>
        <w:t xml:space="preserve">, L., Lafleur, M., Williams, J.D. (2013). Targeted marketing of junk food to ethnic minority youth: fighting back with legal advocacy and community engagement. In Williams, J., Pasch, K., Collins, C. (eds) </w:t>
      </w:r>
      <w:r w:rsidRPr="007F01D8">
        <w:rPr>
          <w:i/>
        </w:rPr>
        <w:t>Advances in Communication Research to Reduce Childhood Obesity. Springer</w:t>
      </w:r>
      <w:r>
        <w:rPr>
          <w:i/>
        </w:rPr>
        <w:t>.</w:t>
      </w:r>
      <w:r>
        <w:t xml:space="preserve"> New York, NY. </w:t>
      </w:r>
      <w:proofErr w:type="spellStart"/>
      <w:r>
        <w:t>doi</w:t>
      </w:r>
      <w:proofErr w:type="spellEnd"/>
      <w:r>
        <w:t>: 10.1007/978-1-4614-5511-0_18</w:t>
      </w:r>
    </w:p>
  </w:endnote>
  <w:endnote w:id="23">
    <w:p w14:paraId="257D0715" w14:textId="5429EB40" w:rsidR="00F27326" w:rsidRDefault="00F2732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751E0">
        <w:t>I</w:t>
      </w:r>
      <w:r>
        <w:t>bid.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Äˆø3U'1F5'881†q&amp;&gt;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29D92" w14:textId="5BB64E7E" w:rsidR="00F27326" w:rsidRDefault="00F27326" w:rsidP="000A7A2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0"/>
      <w:jc w:val="center"/>
      <w:rPr>
        <w:rFonts w:ascii="Calibri" w:hAnsi="Calibri" w:cs="Lucida Grande"/>
        <w:sz w:val="18"/>
        <w:szCs w:val="18"/>
      </w:rPr>
    </w:pPr>
    <w:r>
      <w:rPr>
        <w:rFonts w:ascii="Calibri" w:hAnsi="Calibri" w:cs="Lucida Grande"/>
        <w:sz w:val="17"/>
        <w:szCs w:val="17"/>
      </w:rPr>
      <w:ptab w:relativeTo="margin" w:alignment="left" w:leader="none"/>
    </w:r>
    <w:r w:rsidRPr="00E47E0B">
      <w:rPr>
        <w:rFonts w:ascii="Calibri" w:hAnsi="Calibri" w:cs="Lucida Grande"/>
        <w:sz w:val="17"/>
        <w:szCs w:val="17"/>
      </w:rPr>
      <w:t>American Cancer Society Cancer Action Network</w:t>
    </w:r>
    <w:r w:rsidRPr="00FC1C4C">
      <w:rPr>
        <w:rFonts w:ascii="Calibri" w:hAnsi="Calibri" w:cs="Lucida Grande"/>
        <w:sz w:val="18"/>
        <w:szCs w:val="18"/>
      </w:rPr>
      <w:t xml:space="preserve"> </w:t>
    </w:r>
    <w:r w:rsidRPr="00FC1C4C">
      <w:rPr>
        <w:rFonts w:ascii="Calibri" w:hAnsi="Calibri" w:cs="Lucida Grande"/>
      </w:rPr>
      <w:t>|</w:t>
    </w:r>
    <w:r w:rsidRPr="00FC1C4C">
      <w:rPr>
        <w:rFonts w:ascii="Calibri" w:hAnsi="Calibri" w:cs="Lucida Grande"/>
        <w:sz w:val="18"/>
        <w:szCs w:val="18"/>
      </w:rPr>
      <w:t>555</w:t>
    </w:r>
    <w:r w:rsidRPr="00E47E0B">
      <w:rPr>
        <w:rFonts w:ascii="Calibri" w:hAnsi="Calibri" w:cs="Lucida Grande"/>
        <w:sz w:val="17"/>
        <w:szCs w:val="17"/>
      </w:rPr>
      <w:t xml:space="preserve"> 11th St. NW, Ste. 300</w:t>
    </w:r>
    <w:r w:rsidRPr="00FC1C4C">
      <w:rPr>
        <w:rFonts w:ascii="Calibri" w:hAnsi="Calibri" w:cs="Lucida Grande"/>
        <w:sz w:val="18"/>
        <w:szCs w:val="18"/>
      </w:rPr>
      <w:t xml:space="preserve"> | Washington</w:t>
    </w:r>
    <w:r w:rsidRPr="00E47E0B">
      <w:rPr>
        <w:rFonts w:ascii="Calibri" w:hAnsi="Calibri" w:cs="Lucida Grande"/>
        <w:sz w:val="17"/>
        <w:szCs w:val="17"/>
      </w:rPr>
      <w:t>, DC 20004</w:t>
    </w:r>
    <w:r w:rsidRPr="00FC1C4C">
      <w:rPr>
        <w:rFonts w:ascii="Calibri" w:hAnsi="Calibri" w:cs="Lucida Grande"/>
        <w:sz w:val="18"/>
        <w:szCs w:val="18"/>
      </w:rPr>
      <w:t xml:space="preserve"> |  </w:t>
    </w:r>
    <w:r>
      <w:rPr>
        <w:rFonts w:ascii="Calibri" w:hAnsi="Calibri" w:cs="Lucida Grande"/>
        <w:noProof/>
        <w:sz w:val="17"/>
        <w:szCs w:val="17"/>
      </w:rPr>
      <w:drawing>
        <wp:inline distT="0" distB="0" distL="0" distR="0" wp14:anchorId="19E3F12B" wp14:editId="58A7B53E">
          <wp:extent cx="166816" cy="137160"/>
          <wp:effectExtent l="0" t="0" r="1143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16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Lucida Grande"/>
        <w:sz w:val="17"/>
        <w:szCs w:val="17"/>
      </w:rPr>
      <w:t>@ACSCAN</w:t>
    </w:r>
    <w:r>
      <w:rPr>
        <w:rFonts w:ascii="Calibri" w:hAnsi="Calibri" w:cs="Lucida Grande"/>
        <w:sz w:val="18"/>
        <w:szCs w:val="18"/>
      </w:rPr>
      <w:t xml:space="preserve">   </w:t>
    </w:r>
    <w:r>
      <w:rPr>
        <w:rFonts w:ascii="Calibri" w:hAnsi="Calibri" w:cs="Lucida Grande"/>
        <w:noProof/>
        <w:sz w:val="18"/>
        <w:szCs w:val="18"/>
      </w:rPr>
      <w:drawing>
        <wp:inline distT="0" distB="0" distL="0" distR="0" wp14:anchorId="34E0F553" wp14:editId="353036E9">
          <wp:extent cx="137160" cy="137160"/>
          <wp:effectExtent l="0" t="0" r="0" b="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-fLogo-Blue-printpackag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Lucida Grande"/>
        <w:sz w:val="18"/>
        <w:szCs w:val="18"/>
      </w:rPr>
      <w:t xml:space="preserve">  </w:t>
    </w:r>
    <w:r w:rsidRPr="00E47E0B">
      <w:rPr>
        <w:rFonts w:ascii="Calibri" w:hAnsi="Calibri" w:cs="Lucida Grande"/>
        <w:sz w:val="17"/>
        <w:szCs w:val="17"/>
      </w:rPr>
      <w:t>FB/ACSCAN</w:t>
    </w:r>
    <w:r w:rsidRPr="00FC1C4C">
      <w:rPr>
        <w:rFonts w:ascii="Calibri" w:hAnsi="Calibri" w:cs="Lucida Grande"/>
      </w:rPr>
      <w:t xml:space="preserve"> |</w:t>
    </w:r>
    <w:r>
      <w:rPr>
        <w:rFonts w:ascii="Calibri" w:hAnsi="Calibri" w:cs="Lucida Grande"/>
        <w:sz w:val="18"/>
        <w:szCs w:val="18"/>
      </w:rPr>
      <w:t>fightcancer</w:t>
    </w:r>
    <w:r w:rsidRPr="00FC1C4C">
      <w:rPr>
        <w:rFonts w:ascii="Calibri" w:hAnsi="Calibri" w:cs="Lucida Grande"/>
        <w:sz w:val="18"/>
        <w:szCs w:val="18"/>
      </w:rPr>
      <w:t>.org</w:t>
    </w:r>
  </w:p>
  <w:p w14:paraId="1513A7B5" w14:textId="6028212F" w:rsidR="00F27326" w:rsidRPr="00FC34B4" w:rsidRDefault="00F27326" w:rsidP="00FC34B4">
    <w:pPr>
      <w:ind w:left="4320"/>
      <w:rPr>
        <w:rFonts w:asciiTheme="majorHAnsi" w:eastAsiaTheme="majorEastAsia" w:hAnsiTheme="majorHAnsi" w:cstheme="majorBidi"/>
        <w:sz w:val="48"/>
        <w:szCs w:val="44"/>
      </w:rPr>
    </w:pPr>
    <w:r>
      <w:rPr>
        <w:rFonts w:ascii="Calibri" w:hAnsi="Calibri" w:cs="Lucida Grande"/>
        <w:sz w:val="18"/>
        <w:szCs w:val="18"/>
      </w:rPr>
      <w:t xml:space="preserve">        -</w:t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-999964318"/>
        <w:docPartObj>
          <w:docPartGallery w:val="Page Numbers (Margins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rFonts w:asciiTheme="majorHAnsi" w:eastAsiaTheme="majorEastAsia" w:hAnsiTheme="majorHAnsi" w:cstheme="majorBidi"/>
              <w:sz w:val="18"/>
              <w:szCs w:val="18"/>
            </w:rPr>
            <w:id w:val="574478829"/>
            <w:docPartObj>
              <w:docPartGallery w:val="Page Numbers (Margins)"/>
              <w:docPartUnique/>
            </w:docPartObj>
          </w:sdtPr>
          <w:sdtEndPr/>
          <w:sdtContent>
            <w:r w:rsidRPr="00FC34B4">
              <w:rPr>
                <w:rFonts w:asciiTheme="minorHAnsi" w:eastAsiaTheme="minorEastAsia" w:hAnsiTheme="minorHAnsi"/>
                <w:sz w:val="18"/>
                <w:szCs w:val="18"/>
              </w:rPr>
              <w:fldChar w:fldCharType="begin"/>
            </w:r>
            <w:r w:rsidRPr="00FC34B4">
              <w:rPr>
                <w:sz w:val="18"/>
                <w:szCs w:val="18"/>
              </w:rPr>
              <w:instrText xml:space="preserve"> PAGE   \* MERGEFORMAT </w:instrText>
            </w:r>
            <w:r w:rsidRPr="00FC34B4">
              <w:rPr>
                <w:rFonts w:asciiTheme="minorHAnsi" w:eastAsiaTheme="minorEastAsia" w:hAnsiTheme="minorHAnsi"/>
                <w:sz w:val="18"/>
                <w:szCs w:val="18"/>
              </w:rPr>
              <w:fldChar w:fldCharType="separate"/>
            </w:r>
            <w:r w:rsidRPr="009F1150">
              <w:rPr>
                <w:rFonts w:asciiTheme="majorHAnsi" w:eastAsiaTheme="majorEastAsia" w:hAnsiTheme="majorHAnsi" w:cstheme="majorBidi"/>
                <w:noProof/>
                <w:sz w:val="18"/>
                <w:szCs w:val="18"/>
              </w:rPr>
              <w:t>2</w:t>
            </w:r>
            <w:r w:rsidRPr="00FC34B4">
              <w:rPr>
                <w:rFonts w:asciiTheme="majorHAnsi" w:eastAsiaTheme="majorEastAsia" w:hAnsiTheme="majorHAnsi" w:cstheme="majorBidi"/>
                <w:noProof/>
                <w:sz w:val="18"/>
                <w:szCs w:val="18"/>
              </w:rPr>
              <w:fldChar w:fldCharType="end"/>
            </w:r>
          </w:sdtContent>
        </w:sdt>
      </w:sdtContent>
    </w:sdt>
    <w:r>
      <w:rPr>
        <w:rFonts w:ascii="Calibri" w:hAnsi="Calibri" w:cs="Lucida Grande"/>
        <w:sz w:val="18"/>
        <w:szCs w:val="18"/>
      </w:rPr>
      <w:t xml:space="preserve">-                        </w:t>
    </w:r>
    <w:r>
      <w:rPr>
        <w:rFonts w:ascii="Calibri" w:hAnsi="Calibri" w:cs="Lucida Grande"/>
        <w:sz w:val="18"/>
        <w:szCs w:val="18"/>
      </w:rPr>
      <w:tab/>
    </w:r>
    <w:r>
      <w:rPr>
        <w:rFonts w:ascii="Calibri" w:hAnsi="Calibri" w:cs="Lucida Grande"/>
        <w:sz w:val="18"/>
        <w:szCs w:val="18"/>
      </w:rPr>
      <w:tab/>
      <w:t xml:space="preserve">         </w:t>
    </w:r>
    <w:r w:rsidRPr="00FC1C4C">
      <w:rPr>
        <w:rFonts w:asciiTheme="majorHAnsi" w:hAnsiTheme="majorHAnsi" w:cs="Lucida Grande"/>
        <w:color w:val="000000"/>
        <w:sz w:val="12"/>
        <w:szCs w:val="12"/>
      </w:rPr>
      <w:t>©</w:t>
    </w:r>
    <w:r w:rsidRPr="00FC1C4C">
      <w:rPr>
        <w:rFonts w:asciiTheme="majorHAnsi" w:hAnsiTheme="majorHAnsi"/>
        <w:color w:val="7F7F7F" w:themeColor="text1" w:themeTint="80"/>
        <w:sz w:val="12"/>
        <w:szCs w:val="12"/>
      </w:rPr>
      <w:t>201</w:t>
    </w:r>
    <w:r>
      <w:rPr>
        <w:rFonts w:asciiTheme="majorHAnsi" w:hAnsiTheme="majorHAnsi"/>
        <w:color w:val="7F7F7F" w:themeColor="text1" w:themeTint="80"/>
        <w:sz w:val="12"/>
        <w:szCs w:val="12"/>
      </w:rPr>
      <w:t>9</w:t>
    </w:r>
    <w:r w:rsidRPr="00FC1C4C">
      <w:rPr>
        <w:rFonts w:asciiTheme="majorHAnsi" w:hAnsiTheme="majorHAnsi"/>
        <w:color w:val="7F7F7F" w:themeColor="text1" w:themeTint="80"/>
        <w:sz w:val="12"/>
        <w:szCs w:val="12"/>
      </w:rPr>
      <w:t xml:space="preserve"> American Cancer Society Cancer Action Network,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A6DA6" w14:textId="173DA745" w:rsidR="00F27326" w:rsidRPr="000A7A26" w:rsidRDefault="00F27326" w:rsidP="00FC34B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0"/>
      <w:jc w:val="center"/>
      <w:rPr>
        <w:rFonts w:ascii="Calibri" w:hAnsi="Calibri" w:cs="Lucida Grande"/>
        <w:sz w:val="18"/>
        <w:szCs w:val="18"/>
      </w:rPr>
    </w:pPr>
    <w:r>
      <w:rPr>
        <w:rFonts w:ascii="Calibri" w:hAnsi="Calibri" w:cs="Lucida Grande"/>
        <w:sz w:val="17"/>
        <w:szCs w:val="17"/>
      </w:rPr>
      <w:ptab w:relativeTo="margin" w:alignment="left" w:leader="none"/>
    </w:r>
    <w:r w:rsidRPr="00E47E0B">
      <w:rPr>
        <w:rFonts w:ascii="Calibri" w:hAnsi="Calibri" w:cs="Lucida Grande"/>
        <w:sz w:val="17"/>
        <w:szCs w:val="17"/>
      </w:rPr>
      <w:t>American Cancer Society Cancer Action Network</w:t>
    </w:r>
    <w:r w:rsidRPr="00FC1C4C">
      <w:rPr>
        <w:rFonts w:ascii="Calibri" w:hAnsi="Calibri" w:cs="Lucida Grande"/>
        <w:sz w:val="18"/>
        <w:szCs w:val="18"/>
      </w:rPr>
      <w:t xml:space="preserve"> </w:t>
    </w:r>
    <w:r w:rsidRPr="00FC1C4C">
      <w:rPr>
        <w:rFonts w:ascii="Calibri" w:hAnsi="Calibri" w:cs="Lucida Grande"/>
      </w:rPr>
      <w:t>|</w:t>
    </w:r>
    <w:r w:rsidRPr="00FC1C4C">
      <w:rPr>
        <w:rFonts w:ascii="Calibri" w:hAnsi="Calibri" w:cs="Lucida Grande"/>
        <w:sz w:val="18"/>
        <w:szCs w:val="18"/>
      </w:rPr>
      <w:t>555</w:t>
    </w:r>
    <w:r w:rsidRPr="00E47E0B">
      <w:rPr>
        <w:rFonts w:ascii="Calibri" w:hAnsi="Calibri" w:cs="Lucida Grande"/>
        <w:sz w:val="17"/>
        <w:szCs w:val="17"/>
      </w:rPr>
      <w:t xml:space="preserve"> 11th St. NW, Ste. 300</w:t>
    </w:r>
    <w:r w:rsidRPr="00FC1C4C">
      <w:rPr>
        <w:rFonts w:ascii="Calibri" w:hAnsi="Calibri" w:cs="Lucida Grande"/>
        <w:sz w:val="18"/>
        <w:szCs w:val="18"/>
      </w:rPr>
      <w:t xml:space="preserve"> | Washington</w:t>
    </w:r>
    <w:r w:rsidRPr="00E47E0B">
      <w:rPr>
        <w:rFonts w:ascii="Calibri" w:hAnsi="Calibri" w:cs="Lucida Grande"/>
        <w:sz w:val="17"/>
        <w:szCs w:val="17"/>
      </w:rPr>
      <w:t>, DC 20004</w:t>
    </w:r>
    <w:r w:rsidRPr="00FC1C4C">
      <w:rPr>
        <w:rFonts w:ascii="Calibri" w:hAnsi="Calibri" w:cs="Lucida Grande"/>
        <w:sz w:val="18"/>
        <w:szCs w:val="18"/>
      </w:rPr>
      <w:t xml:space="preserve"> |  </w:t>
    </w:r>
    <w:r>
      <w:rPr>
        <w:rFonts w:ascii="Calibri" w:hAnsi="Calibri" w:cs="Lucida Grande"/>
        <w:noProof/>
        <w:sz w:val="17"/>
        <w:szCs w:val="17"/>
      </w:rPr>
      <w:drawing>
        <wp:inline distT="0" distB="0" distL="0" distR="0" wp14:anchorId="3DB9DF3A" wp14:editId="1EB591A8">
          <wp:extent cx="166816" cy="137160"/>
          <wp:effectExtent l="0" t="0" r="1143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16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Lucida Grande"/>
        <w:sz w:val="17"/>
        <w:szCs w:val="17"/>
      </w:rPr>
      <w:t>@ACSCAN</w:t>
    </w:r>
    <w:r>
      <w:rPr>
        <w:rFonts w:ascii="Calibri" w:hAnsi="Calibri" w:cs="Lucida Grande"/>
        <w:sz w:val="18"/>
        <w:szCs w:val="18"/>
      </w:rPr>
      <w:t xml:space="preserve">   </w:t>
    </w:r>
    <w:r>
      <w:rPr>
        <w:rFonts w:ascii="Calibri" w:hAnsi="Calibri" w:cs="Lucida Grande"/>
        <w:noProof/>
        <w:sz w:val="18"/>
        <w:szCs w:val="18"/>
      </w:rPr>
      <w:drawing>
        <wp:inline distT="0" distB="0" distL="0" distR="0" wp14:anchorId="36A1AEDA" wp14:editId="73BDAC58">
          <wp:extent cx="137160" cy="1371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-fLogo-Blue-printpackag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" cy="13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Lucida Grande"/>
        <w:sz w:val="18"/>
        <w:szCs w:val="18"/>
      </w:rPr>
      <w:t xml:space="preserve">  </w:t>
    </w:r>
    <w:r w:rsidRPr="00E47E0B">
      <w:rPr>
        <w:rFonts w:ascii="Calibri" w:hAnsi="Calibri" w:cs="Lucida Grande"/>
        <w:sz w:val="17"/>
        <w:szCs w:val="17"/>
      </w:rPr>
      <w:t>FB/ACSCAN</w:t>
    </w:r>
    <w:r w:rsidRPr="00FC1C4C">
      <w:rPr>
        <w:rFonts w:ascii="Calibri" w:hAnsi="Calibri" w:cs="Lucida Grande"/>
      </w:rPr>
      <w:t xml:space="preserve"> |</w:t>
    </w:r>
    <w:r>
      <w:rPr>
        <w:rFonts w:ascii="Calibri" w:hAnsi="Calibri" w:cs="Lucida Grande"/>
        <w:sz w:val="18"/>
        <w:szCs w:val="18"/>
      </w:rPr>
      <w:t>fightcancer</w:t>
    </w:r>
    <w:r w:rsidRPr="00FC1C4C">
      <w:rPr>
        <w:rFonts w:ascii="Calibri" w:hAnsi="Calibri" w:cs="Lucida Grande"/>
        <w:sz w:val="18"/>
        <w:szCs w:val="18"/>
      </w:rPr>
      <w:t>.org</w:t>
    </w:r>
  </w:p>
  <w:p w14:paraId="523D437C" w14:textId="77777777" w:rsidR="00F27326" w:rsidRPr="000A7A26" w:rsidRDefault="00F27326" w:rsidP="00FC34B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0"/>
      <w:jc w:val="center"/>
      <w:rPr>
        <w:rFonts w:ascii="Calibri" w:hAnsi="Calibri" w:cs="Lucida Grande"/>
        <w:sz w:val="6"/>
        <w:szCs w:val="6"/>
      </w:rPr>
    </w:pPr>
  </w:p>
  <w:p w14:paraId="1352BF25" w14:textId="4E345418" w:rsidR="00F27326" w:rsidRDefault="00F27326" w:rsidP="00FC34B4">
    <w:pPr>
      <w:jc w:val="right"/>
      <w:rPr>
        <w:rFonts w:asciiTheme="majorHAnsi" w:hAnsiTheme="majorHAnsi"/>
        <w:color w:val="7F7F7F" w:themeColor="text1" w:themeTint="80"/>
        <w:sz w:val="12"/>
        <w:szCs w:val="12"/>
      </w:rPr>
    </w:pPr>
    <w:r w:rsidRPr="00FC1C4C">
      <w:rPr>
        <w:rFonts w:asciiTheme="majorHAnsi" w:hAnsiTheme="majorHAnsi" w:cs="Lucida Grande"/>
        <w:color w:val="000000"/>
        <w:sz w:val="12"/>
        <w:szCs w:val="12"/>
      </w:rPr>
      <w:t>©</w:t>
    </w:r>
    <w:r w:rsidRPr="00FC1C4C">
      <w:rPr>
        <w:rFonts w:asciiTheme="majorHAnsi" w:hAnsiTheme="majorHAnsi"/>
        <w:color w:val="7F7F7F" w:themeColor="text1" w:themeTint="80"/>
        <w:sz w:val="12"/>
        <w:szCs w:val="12"/>
      </w:rPr>
      <w:t>201</w:t>
    </w:r>
    <w:r>
      <w:rPr>
        <w:rFonts w:asciiTheme="majorHAnsi" w:hAnsiTheme="majorHAnsi"/>
        <w:color w:val="7F7F7F" w:themeColor="text1" w:themeTint="80"/>
        <w:sz w:val="12"/>
        <w:szCs w:val="12"/>
      </w:rPr>
      <w:t>9</w:t>
    </w:r>
    <w:r w:rsidRPr="00FC1C4C">
      <w:rPr>
        <w:rFonts w:asciiTheme="majorHAnsi" w:hAnsiTheme="majorHAnsi"/>
        <w:color w:val="7F7F7F" w:themeColor="text1" w:themeTint="80"/>
        <w:sz w:val="12"/>
        <w:szCs w:val="12"/>
      </w:rPr>
      <w:t xml:space="preserve"> American Cancer Society Cancer Action Network,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659E1" w14:textId="77777777" w:rsidR="007075C9" w:rsidRDefault="007075C9" w:rsidP="008B1477">
      <w:r>
        <w:separator/>
      </w:r>
    </w:p>
  </w:footnote>
  <w:footnote w:type="continuationSeparator" w:id="0">
    <w:p w14:paraId="144C74AF" w14:textId="77777777" w:rsidR="007075C9" w:rsidRDefault="007075C9" w:rsidP="008B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E793" w14:textId="311EAC24" w:rsidR="00F27326" w:rsidRPr="00FC3716" w:rsidRDefault="00F27326" w:rsidP="002F4313">
    <w:pPr>
      <w:pStyle w:val="Header"/>
      <w:tabs>
        <w:tab w:val="clear" w:pos="4680"/>
        <w:tab w:val="clear" w:pos="9360"/>
        <w:tab w:val="left" w:pos="3210"/>
      </w:tabs>
      <w:spacing w:before="120"/>
      <w:ind w:firstLine="720"/>
      <w:rPr>
        <w:rFonts w:asciiTheme="minorHAnsi" w:hAnsiTheme="minorHAnsi"/>
        <w:color w:val="FFFFFF" w:themeColor="background1"/>
        <w:sz w:val="20"/>
        <w:szCs w:val="20"/>
      </w:rPr>
    </w:pPr>
    <w:r w:rsidRPr="00FC3716">
      <w:rPr>
        <w:rFonts w:asciiTheme="minorHAnsi" w:hAnsiTheme="minorHAnsi"/>
        <w:noProof/>
        <w:color w:val="FFFFFF" w:themeColor="background1"/>
        <w:sz w:val="20"/>
        <w:szCs w:val="20"/>
      </w:rPr>
      <w:drawing>
        <wp:anchor distT="0" distB="0" distL="114300" distR="114300" simplePos="0" relativeHeight="251664896" behindDoc="1" locked="0" layoutInCell="1" allowOverlap="1" wp14:anchorId="2014F93F" wp14:editId="0D42B79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4650" cy="3352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template 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0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color w:val="FFFFFF" w:themeColor="background1"/>
        <w:sz w:val="20"/>
        <w:szCs w:val="20"/>
      </w:rPr>
      <w:t xml:space="preserve"> Food &amp; Beverage Marketing to Youth</w:t>
    </w:r>
    <w:r w:rsidRPr="00FC3716">
      <w:rPr>
        <w:rFonts w:asciiTheme="minorHAnsi" w:hAnsiTheme="minorHAnsi"/>
        <w:color w:val="FFFFFF" w:themeColor="background1"/>
        <w:sz w:val="20"/>
        <w:szCs w:val="20"/>
      </w:rPr>
      <w:t xml:space="preserve">  I  </w:t>
    </w:r>
    <w:r>
      <w:rPr>
        <w:rFonts w:asciiTheme="minorHAnsi" w:hAnsiTheme="minorHAnsi"/>
        <w:color w:val="FFFFFF" w:themeColor="background1"/>
        <w:sz w:val="20"/>
        <w:szCs w:val="20"/>
      </w:rPr>
      <w:t>September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EEA6" w14:textId="7EBF9DD1" w:rsidR="00F27326" w:rsidRDefault="00F273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5B7669C" wp14:editId="0FEB32D5">
              <wp:simplePos x="0" y="0"/>
              <wp:positionH relativeFrom="column">
                <wp:posOffset>381000</wp:posOffset>
              </wp:positionH>
              <wp:positionV relativeFrom="paragraph">
                <wp:posOffset>182880</wp:posOffset>
              </wp:positionV>
              <wp:extent cx="5257800" cy="958215"/>
              <wp:effectExtent l="0" t="0" r="0" b="0"/>
              <wp:wrapTight wrapText="bothSides">
                <wp:wrapPolygon edited="0">
                  <wp:start x="157" y="0"/>
                  <wp:lineTo x="157" y="21042"/>
                  <wp:lineTo x="21365" y="21042"/>
                  <wp:lineTo x="21365" y="0"/>
                  <wp:lineTo x="157" y="0"/>
                </wp:wrapPolygon>
              </wp:wrapTight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958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F88309" w14:textId="5D3F2C48" w:rsidR="00F27326" w:rsidRPr="00C37F40" w:rsidRDefault="00F27326" w:rsidP="00FC4FB7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C37F40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Food &amp; Beverage Marketing to Youth</w:t>
                          </w:r>
                        </w:p>
                        <w:p w14:paraId="003BDD13" w14:textId="77777777" w:rsidR="00F27326" w:rsidRPr="00FC4FB7" w:rsidRDefault="00F27326" w:rsidP="00FC4FB7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7669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pt;margin-top:14.4pt;width:414pt;height:75.4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" filled="f" stroked="f">
              <v:textbox>
                <w:txbxContent>
                  <w:p w14:paraId="65F88309" w14:textId="5D3F2C48" w:rsidR="00AC1844" w:rsidRPr="00C37F40" w:rsidRDefault="00AC1844" w:rsidP="00FC4FB7">
                    <w:pPr>
                      <w:rPr>
                        <w:rFonts w:ascii="Calibri" w:hAnsi="Calibr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C37F40">
                      <w:rPr>
                        <w:rFonts w:ascii="Calibri" w:hAnsi="Calibri"/>
                        <w:b/>
                        <w:color w:val="FFFFFF" w:themeColor="background1"/>
                        <w:sz w:val="48"/>
                        <w:szCs w:val="48"/>
                      </w:rPr>
                      <w:t xml:space="preserve">Food </w:t>
                    </w:r>
                    <w:r w:rsidR="00C37F40" w:rsidRPr="00C37F40">
                      <w:rPr>
                        <w:rFonts w:ascii="Calibri" w:hAnsi="Calibri"/>
                        <w:b/>
                        <w:color w:val="FFFFFF" w:themeColor="background1"/>
                        <w:sz w:val="48"/>
                        <w:szCs w:val="48"/>
                      </w:rPr>
                      <w:t xml:space="preserve">&amp; Beverage </w:t>
                    </w:r>
                    <w:r w:rsidRPr="00C37F40">
                      <w:rPr>
                        <w:rFonts w:ascii="Calibri" w:hAnsi="Calibri"/>
                        <w:b/>
                        <w:color w:val="FFFFFF" w:themeColor="background1"/>
                        <w:sz w:val="48"/>
                        <w:szCs w:val="48"/>
                      </w:rPr>
                      <w:t xml:space="preserve">Marketing to </w:t>
                    </w:r>
                    <w:r w:rsidR="001414E2" w:rsidRPr="00C37F40">
                      <w:rPr>
                        <w:rFonts w:ascii="Calibri" w:hAnsi="Calibri"/>
                        <w:b/>
                        <w:color w:val="FFFFFF" w:themeColor="background1"/>
                        <w:sz w:val="48"/>
                        <w:szCs w:val="48"/>
                      </w:rPr>
                      <w:t>Youth</w:t>
                    </w:r>
                  </w:p>
                  <w:p w14:paraId="003BDD13" w14:textId="77777777" w:rsidR="00FC4FB7" w:rsidRPr="00FC4FB7" w:rsidRDefault="00FC4FB7" w:rsidP="00FC4FB7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5E2B2C38" wp14:editId="15BBC486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6932930" cy="923925"/>
          <wp:effectExtent l="0" t="0" r="127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 sheet template header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47"/>
                  <a:stretch/>
                </pic:blipFill>
                <pic:spPr bwMode="auto">
                  <a:xfrm>
                    <a:off x="0" y="0"/>
                    <a:ext cx="6932930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3122"/>
    <w:multiLevelType w:val="multilevel"/>
    <w:tmpl w:val="3D4CDD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505A2D"/>
    <w:multiLevelType w:val="hybridMultilevel"/>
    <w:tmpl w:val="063C8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F238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61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6A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2E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63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06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F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E5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CD2F83"/>
    <w:multiLevelType w:val="hybridMultilevel"/>
    <w:tmpl w:val="BECC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564"/>
    <w:multiLevelType w:val="hybridMultilevel"/>
    <w:tmpl w:val="B064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8400A"/>
    <w:multiLevelType w:val="hybridMultilevel"/>
    <w:tmpl w:val="0258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45452"/>
    <w:multiLevelType w:val="hybridMultilevel"/>
    <w:tmpl w:val="4008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32782"/>
    <w:multiLevelType w:val="hybridMultilevel"/>
    <w:tmpl w:val="AE30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24876"/>
    <w:multiLevelType w:val="hybridMultilevel"/>
    <w:tmpl w:val="4726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37B49"/>
    <w:multiLevelType w:val="hybridMultilevel"/>
    <w:tmpl w:val="669A8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C5A3A"/>
    <w:multiLevelType w:val="hybridMultilevel"/>
    <w:tmpl w:val="6470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93C0F"/>
    <w:multiLevelType w:val="hybridMultilevel"/>
    <w:tmpl w:val="3576438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75563D01"/>
    <w:multiLevelType w:val="hybridMultilevel"/>
    <w:tmpl w:val="3920E3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79396065"/>
    <w:multiLevelType w:val="hybridMultilevel"/>
    <w:tmpl w:val="B01A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B748F"/>
    <w:multiLevelType w:val="hybridMultilevel"/>
    <w:tmpl w:val="50E824DE"/>
    <w:lvl w:ilvl="0" w:tplc="7A00CE56">
      <w:start w:val="51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77"/>
    <w:rsid w:val="0002561D"/>
    <w:rsid w:val="0006244A"/>
    <w:rsid w:val="000878CE"/>
    <w:rsid w:val="0009699C"/>
    <w:rsid w:val="000A5F20"/>
    <w:rsid w:val="000A7A26"/>
    <w:rsid w:val="000B64B0"/>
    <w:rsid w:val="000B73B8"/>
    <w:rsid w:val="000C22E2"/>
    <w:rsid w:val="000C52F7"/>
    <w:rsid w:val="000C6B13"/>
    <w:rsid w:val="000C6CA4"/>
    <w:rsid w:val="000D4C98"/>
    <w:rsid w:val="000F1D04"/>
    <w:rsid w:val="000F521A"/>
    <w:rsid w:val="00101281"/>
    <w:rsid w:val="0010490E"/>
    <w:rsid w:val="001052A5"/>
    <w:rsid w:val="00107A2E"/>
    <w:rsid w:val="001414E2"/>
    <w:rsid w:val="00153416"/>
    <w:rsid w:val="00191F40"/>
    <w:rsid w:val="001A59E5"/>
    <w:rsid w:val="001B51E8"/>
    <w:rsid w:val="001B71D9"/>
    <w:rsid w:val="001C71B2"/>
    <w:rsid w:val="001D2D63"/>
    <w:rsid w:val="001D4AC9"/>
    <w:rsid w:val="001D608D"/>
    <w:rsid w:val="001E3B56"/>
    <w:rsid w:val="001E7825"/>
    <w:rsid w:val="0020732B"/>
    <w:rsid w:val="00231472"/>
    <w:rsid w:val="002477D7"/>
    <w:rsid w:val="00250AAD"/>
    <w:rsid w:val="002A76EA"/>
    <w:rsid w:val="002C2529"/>
    <w:rsid w:val="002E1B4C"/>
    <w:rsid w:val="002E3D3A"/>
    <w:rsid w:val="002E7E8D"/>
    <w:rsid w:val="002F4313"/>
    <w:rsid w:val="003002B3"/>
    <w:rsid w:val="00304B5A"/>
    <w:rsid w:val="00311B3E"/>
    <w:rsid w:val="00335132"/>
    <w:rsid w:val="00342693"/>
    <w:rsid w:val="00353190"/>
    <w:rsid w:val="003544C2"/>
    <w:rsid w:val="003B0565"/>
    <w:rsid w:val="003C338E"/>
    <w:rsid w:val="004046F3"/>
    <w:rsid w:val="0043109F"/>
    <w:rsid w:val="004421D9"/>
    <w:rsid w:val="004460B9"/>
    <w:rsid w:val="00446CC7"/>
    <w:rsid w:val="0045519B"/>
    <w:rsid w:val="004748D6"/>
    <w:rsid w:val="0048712A"/>
    <w:rsid w:val="00494BF5"/>
    <w:rsid w:val="004A21CD"/>
    <w:rsid w:val="004C79A3"/>
    <w:rsid w:val="004D18EC"/>
    <w:rsid w:val="004E6683"/>
    <w:rsid w:val="004F31ED"/>
    <w:rsid w:val="00505917"/>
    <w:rsid w:val="005068A3"/>
    <w:rsid w:val="0052438B"/>
    <w:rsid w:val="0052617D"/>
    <w:rsid w:val="00535357"/>
    <w:rsid w:val="00553CBE"/>
    <w:rsid w:val="00565D30"/>
    <w:rsid w:val="00586EF3"/>
    <w:rsid w:val="005B46FB"/>
    <w:rsid w:val="005D0718"/>
    <w:rsid w:val="005F71BB"/>
    <w:rsid w:val="00615E00"/>
    <w:rsid w:val="00620B5E"/>
    <w:rsid w:val="00621B7E"/>
    <w:rsid w:val="00671528"/>
    <w:rsid w:val="006943F2"/>
    <w:rsid w:val="00696046"/>
    <w:rsid w:val="006B102C"/>
    <w:rsid w:val="006C3280"/>
    <w:rsid w:val="006D0A27"/>
    <w:rsid w:val="006F1CBA"/>
    <w:rsid w:val="006F4141"/>
    <w:rsid w:val="007075C9"/>
    <w:rsid w:val="007205E5"/>
    <w:rsid w:val="00732452"/>
    <w:rsid w:val="0073569E"/>
    <w:rsid w:val="007416C6"/>
    <w:rsid w:val="00785E49"/>
    <w:rsid w:val="00790D9E"/>
    <w:rsid w:val="007958AA"/>
    <w:rsid w:val="007B1A06"/>
    <w:rsid w:val="007F01D8"/>
    <w:rsid w:val="00810978"/>
    <w:rsid w:val="00844359"/>
    <w:rsid w:val="00852701"/>
    <w:rsid w:val="00852E04"/>
    <w:rsid w:val="00864200"/>
    <w:rsid w:val="00876C08"/>
    <w:rsid w:val="00880E58"/>
    <w:rsid w:val="0089562D"/>
    <w:rsid w:val="008B1477"/>
    <w:rsid w:val="008B6866"/>
    <w:rsid w:val="008E32B8"/>
    <w:rsid w:val="008F19B1"/>
    <w:rsid w:val="00903F59"/>
    <w:rsid w:val="00923F8C"/>
    <w:rsid w:val="00967C4A"/>
    <w:rsid w:val="009A5984"/>
    <w:rsid w:val="009A5B81"/>
    <w:rsid w:val="009B3EC0"/>
    <w:rsid w:val="009C5C5F"/>
    <w:rsid w:val="009F1150"/>
    <w:rsid w:val="00A20617"/>
    <w:rsid w:val="00A3564B"/>
    <w:rsid w:val="00A434BE"/>
    <w:rsid w:val="00A55334"/>
    <w:rsid w:val="00A721B2"/>
    <w:rsid w:val="00A9170D"/>
    <w:rsid w:val="00AA25E4"/>
    <w:rsid w:val="00AB0773"/>
    <w:rsid w:val="00AC1844"/>
    <w:rsid w:val="00AC35F3"/>
    <w:rsid w:val="00AC7F11"/>
    <w:rsid w:val="00AD52F2"/>
    <w:rsid w:val="00AF1939"/>
    <w:rsid w:val="00AF4D5E"/>
    <w:rsid w:val="00B079BE"/>
    <w:rsid w:val="00B14160"/>
    <w:rsid w:val="00B222FF"/>
    <w:rsid w:val="00B608C4"/>
    <w:rsid w:val="00B76A98"/>
    <w:rsid w:val="00B76E9C"/>
    <w:rsid w:val="00B918C6"/>
    <w:rsid w:val="00B93571"/>
    <w:rsid w:val="00BB75E8"/>
    <w:rsid w:val="00BD474E"/>
    <w:rsid w:val="00C104F7"/>
    <w:rsid w:val="00C11B6D"/>
    <w:rsid w:val="00C11D63"/>
    <w:rsid w:val="00C154EA"/>
    <w:rsid w:val="00C16948"/>
    <w:rsid w:val="00C30324"/>
    <w:rsid w:val="00C3507D"/>
    <w:rsid w:val="00C37F40"/>
    <w:rsid w:val="00C47B89"/>
    <w:rsid w:val="00C548CA"/>
    <w:rsid w:val="00C700ED"/>
    <w:rsid w:val="00C75026"/>
    <w:rsid w:val="00C751E0"/>
    <w:rsid w:val="00C93F61"/>
    <w:rsid w:val="00CA3810"/>
    <w:rsid w:val="00CC1DAF"/>
    <w:rsid w:val="00CC2D0A"/>
    <w:rsid w:val="00CC43BC"/>
    <w:rsid w:val="00CC766F"/>
    <w:rsid w:val="00CD1BBA"/>
    <w:rsid w:val="00CD6D0E"/>
    <w:rsid w:val="00CE2797"/>
    <w:rsid w:val="00D04490"/>
    <w:rsid w:val="00D20BCA"/>
    <w:rsid w:val="00D3074A"/>
    <w:rsid w:val="00D32B1B"/>
    <w:rsid w:val="00D510B8"/>
    <w:rsid w:val="00D87336"/>
    <w:rsid w:val="00D9107B"/>
    <w:rsid w:val="00DB212A"/>
    <w:rsid w:val="00DD2D37"/>
    <w:rsid w:val="00DE5EA5"/>
    <w:rsid w:val="00DF7A38"/>
    <w:rsid w:val="00E00394"/>
    <w:rsid w:val="00E26069"/>
    <w:rsid w:val="00E260DB"/>
    <w:rsid w:val="00E35228"/>
    <w:rsid w:val="00E465B9"/>
    <w:rsid w:val="00E46935"/>
    <w:rsid w:val="00E50F43"/>
    <w:rsid w:val="00E63A68"/>
    <w:rsid w:val="00E70511"/>
    <w:rsid w:val="00E94E9E"/>
    <w:rsid w:val="00E964A6"/>
    <w:rsid w:val="00EA5613"/>
    <w:rsid w:val="00EB4447"/>
    <w:rsid w:val="00EE1D82"/>
    <w:rsid w:val="00EE2A6B"/>
    <w:rsid w:val="00F046B3"/>
    <w:rsid w:val="00F04FFC"/>
    <w:rsid w:val="00F13A93"/>
    <w:rsid w:val="00F27326"/>
    <w:rsid w:val="00F32F14"/>
    <w:rsid w:val="00F3574D"/>
    <w:rsid w:val="00F44FAA"/>
    <w:rsid w:val="00F60972"/>
    <w:rsid w:val="00F6199A"/>
    <w:rsid w:val="00F648A4"/>
    <w:rsid w:val="00F65DCC"/>
    <w:rsid w:val="00F92608"/>
    <w:rsid w:val="00FC34B4"/>
    <w:rsid w:val="00FC3716"/>
    <w:rsid w:val="00FC4FB7"/>
    <w:rsid w:val="00FE73FE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D858FD"/>
  <w15:chartTrackingRefBased/>
  <w15:docId w15:val="{5FB58ED1-7446-4F13-A3C7-5456868C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313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313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313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313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313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F4313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313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313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313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477"/>
  </w:style>
  <w:style w:type="paragraph" w:styleId="Footer">
    <w:name w:val="footer"/>
    <w:basedOn w:val="Normal"/>
    <w:link w:val="FooterChar"/>
    <w:uiPriority w:val="99"/>
    <w:unhideWhenUsed/>
    <w:rsid w:val="008B1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477"/>
  </w:style>
  <w:style w:type="character" w:styleId="PlaceholderText">
    <w:name w:val="Placeholder Text"/>
    <w:basedOn w:val="DefaultParagraphFont"/>
    <w:uiPriority w:val="99"/>
    <w:semiHidden/>
    <w:rsid w:val="001052A5"/>
    <w:rPr>
      <w:color w:val="808080"/>
    </w:rPr>
  </w:style>
  <w:style w:type="paragraph" w:styleId="EndnoteText">
    <w:name w:val="endnote text"/>
    <w:basedOn w:val="Normal"/>
    <w:link w:val="EndnoteTextChar"/>
    <w:uiPriority w:val="99"/>
    <w:rsid w:val="001052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052A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rsid w:val="001052A5"/>
    <w:rPr>
      <w:vertAlign w:val="superscript"/>
    </w:rPr>
  </w:style>
  <w:style w:type="paragraph" w:styleId="BodyTextIndent">
    <w:name w:val="Body Text Indent"/>
    <w:basedOn w:val="Normal"/>
    <w:link w:val="BodyTextIndentChar"/>
    <w:rsid w:val="001052A5"/>
    <w:pPr>
      <w:ind w:firstLine="720"/>
    </w:pPr>
    <w:rPr>
      <w:snapToGrid w:val="0"/>
      <w:color w:val="00000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52A5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BodyText3">
    <w:name w:val="Body Text 3"/>
    <w:basedOn w:val="Normal"/>
    <w:link w:val="BodyText3Char"/>
    <w:rsid w:val="001052A5"/>
    <w:pPr>
      <w:autoSpaceDE w:val="0"/>
      <w:autoSpaceDN w:val="0"/>
      <w:adjustRightInd w:val="0"/>
      <w:spacing w:line="240" w:lineRule="atLeast"/>
    </w:pPr>
    <w:rPr>
      <w:rFonts w:ascii="Arial" w:hAnsi="Arial"/>
      <w:szCs w:val="20"/>
    </w:rPr>
  </w:style>
  <w:style w:type="character" w:customStyle="1" w:styleId="BodyText3Char">
    <w:name w:val="Body Text 3 Char"/>
    <w:basedOn w:val="DefaultParagraphFont"/>
    <w:link w:val="BodyText3"/>
    <w:rsid w:val="001052A5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1052A5"/>
    <w:rPr>
      <w:color w:val="0000FF"/>
      <w:u w:val="single"/>
    </w:rPr>
  </w:style>
  <w:style w:type="paragraph" w:customStyle="1" w:styleId="Default">
    <w:name w:val="Default"/>
    <w:rsid w:val="001052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1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19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19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9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B1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7958AA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7B1A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1A0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1A0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F43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3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3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431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31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F431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31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31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313"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34"/>
    <w:qFormat/>
    <w:rsid w:val="002F4313"/>
    <w:pPr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59"/>
    <w:rsid w:val="002F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SCANHeader">
    <w:name w:val="ACS CAN Header"/>
    <w:basedOn w:val="Normal"/>
    <w:qFormat/>
    <w:rsid w:val="002F4313"/>
    <w:pPr>
      <w:widowControl w:val="0"/>
      <w:autoSpaceDE w:val="0"/>
      <w:autoSpaceDN w:val="0"/>
      <w:adjustRightInd w:val="0"/>
    </w:pPr>
    <w:rPr>
      <w:rFonts w:ascii="Calibri" w:eastAsiaTheme="minorEastAsia" w:hAnsi="Calibri" w:cs="pÄˆø3U'1F5'881†q&amp;&gt;"/>
      <w:color w:val="FFFFFF" w:themeColor="background1"/>
      <w:sz w:val="28"/>
    </w:rPr>
  </w:style>
  <w:style w:type="character" w:customStyle="1" w:styleId="apple-converted-space">
    <w:name w:val="apple-converted-space"/>
    <w:basedOn w:val="DefaultParagraphFont"/>
    <w:rsid w:val="002F4313"/>
  </w:style>
  <w:style w:type="character" w:styleId="Emphasis">
    <w:name w:val="Emphasis"/>
    <w:basedOn w:val="DefaultParagraphFont"/>
    <w:uiPriority w:val="20"/>
    <w:qFormat/>
    <w:rsid w:val="002F431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72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ghtcancer.org/what-we-do/healthy-eating-and-active-liv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onnruddcenter.org/targeted-marketing" TargetMode="External"/><Relationship Id="rId2" Type="http://schemas.openxmlformats.org/officeDocument/2006/relationships/hyperlink" Target="https://www.cdc.gov/nchs/data/hestat/obesity_adult_15_16/obesity_adult_15_16.pdf" TargetMode="External"/><Relationship Id="rId1" Type="http://schemas.openxmlformats.org/officeDocument/2006/relationships/hyperlink" Target="https://www.cdc.gov/nchs/data/hestat/obesity_child_15_16/obesity_child_15_16.pdf" TargetMode="External"/><Relationship Id="rId4" Type="http://schemas.openxmlformats.org/officeDocument/2006/relationships/hyperlink" Target="http://www.bmsg.org/resources/publications/health-equity-junk-food-marking-talking-about-targeting-kids-colo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FC81B-398E-422C-8383-9C1938D5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Henkle</dc:creator>
  <cp:keywords/>
  <dc:description/>
  <cp:lastModifiedBy>Christin Engelhardt</cp:lastModifiedBy>
  <cp:revision>2</cp:revision>
  <cp:lastPrinted>2017-09-05T15:17:00Z</cp:lastPrinted>
  <dcterms:created xsi:type="dcterms:W3CDTF">2020-01-02T18:56:00Z</dcterms:created>
  <dcterms:modified xsi:type="dcterms:W3CDTF">2020-01-02T18:56:00Z</dcterms:modified>
</cp:coreProperties>
</file>