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6CA83" w14:textId="3727DEEC" w:rsidR="00B173B7" w:rsidRDefault="00BE62D2" w:rsidP="00BE62D2">
      <w:pPr>
        <w:spacing w:after="0" w:line="250" w:lineRule="auto"/>
        <w:ind w:right="107"/>
        <w:rPr>
          <w:rFonts w:eastAsia="Times New Roman"/>
          <w:spacing w:val="-2"/>
        </w:rPr>
      </w:pPr>
      <w:r>
        <w:rPr>
          <w:rFonts w:eastAsia="Times New Roman"/>
          <w:noProof/>
          <w:spacing w:val="-2"/>
        </w:rPr>
        <w:drawing>
          <wp:anchor distT="0" distB="0" distL="114300" distR="114300" simplePos="0" relativeHeight="251658240" behindDoc="1" locked="0" layoutInCell="1" allowOverlap="1" wp14:anchorId="3618F33C" wp14:editId="3E31A327">
            <wp:simplePos x="0" y="0"/>
            <wp:positionH relativeFrom="margin">
              <wp:posOffset>-334010</wp:posOffset>
            </wp:positionH>
            <wp:positionV relativeFrom="margin">
              <wp:posOffset>-781050</wp:posOffset>
            </wp:positionV>
            <wp:extent cx="6974205" cy="1394460"/>
            <wp:effectExtent l="0" t="0" r="0" b="0"/>
            <wp:wrapSquare wrapText="bothSides"/>
            <wp:docPr id="1" name="Picture 1" descr="C:\Users\jennifersingleterry\Pictures\Factshee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singleterry\Pictures\Factsheet Header.png"/>
                    <pic:cNvPicPr>
                      <a:picLocks noChangeAspect="1" noChangeArrowheads="1"/>
                    </pic:cNvPicPr>
                  </pic:nvPicPr>
                  <pic:blipFill>
                    <a:blip r:embed="rId11">
                      <a:extLst>
                        <a:ext uri="{28A0092B-C50C-407E-A947-70E740481C1C}">
                          <a14:useLocalDpi xmlns:a14="http://schemas.microsoft.com/office/drawing/2010/main" val="0"/>
                        </a:ext>
                      </a:extLst>
                    </a:blip>
                    <a:srcRect l="4655" t="3679" r="5070" b="83073"/>
                    <a:stretch>
                      <a:fillRect/>
                    </a:stretch>
                  </pic:blipFill>
                  <pic:spPr bwMode="auto">
                    <a:xfrm>
                      <a:off x="0" y="0"/>
                      <a:ext cx="6974205"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833">
        <w:rPr>
          <w:noProof/>
        </w:rPr>
        <mc:AlternateContent>
          <mc:Choice Requires="wps">
            <w:drawing>
              <wp:anchor distT="45720" distB="45720" distL="114300" distR="114300" simplePos="0" relativeHeight="251659264" behindDoc="0" locked="0" layoutInCell="1" allowOverlap="1" wp14:anchorId="62F639A2" wp14:editId="1B0DEE6B">
                <wp:simplePos x="0" y="0"/>
                <wp:positionH relativeFrom="margin">
                  <wp:posOffset>-635</wp:posOffset>
                </wp:positionH>
                <wp:positionV relativeFrom="margin">
                  <wp:posOffset>-457200</wp:posOffset>
                </wp:positionV>
                <wp:extent cx="5085715"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EDBC" w14:textId="77777777" w:rsidR="00964C5B" w:rsidRPr="005A6E26" w:rsidRDefault="00D41E86" w:rsidP="00F31833">
                            <w:pPr>
                              <w:jc w:val="center"/>
                              <w:rPr>
                                <w:b/>
                                <w:color w:val="FFFFFF"/>
                                <w:sz w:val="36"/>
                                <w:szCs w:val="36"/>
                              </w:rPr>
                            </w:pPr>
                            <w:r>
                              <w:rPr>
                                <w:b/>
                                <w:color w:val="FFFFFF"/>
                                <w:sz w:val="36"/>
                                <w:szCs w:val="36"/>
                              </w:rPr>
                              <w:t>Health Insurance Expansion</w:t>
                            </w:r>
                            <w:r>
                              <w:rPr>
                                <w:b/>
                                <w:color w:val="FFFFFF"/>
                                <w:sz w:val="36"/>
                                <w:szCs w:val="36"/>
                              </w:rPr>
                              <w:br/>
                            </w:r>
                            <w:r w:rsidR="009D6740">
                              <w:rPr>
                                <w:b/>
                                <w:color w:val="FFFFFF"/>
                                <w:sz w:val="36"/>
                                <w:szCs w:val="36"/>
                              </w:rPr>
                              <w:t xml:space="preserve">State </w:t>
                            </w:r>
                            <w:r>
                              <w:rPr>
                                <w:b/>
                                <w:color w:val="FFFFFF"/>
                                <w:sz w:val="36"/>
                                <w:szCs w:val="36"/>
                              </w:rPr>
                              <w:t>Spotlight</w:t>
                            </w:r>
                            <w:r w:rsidR="009D6740">
                              <w:rPr>
                                <w:b/>
                                <w:color w:val="FFFFFF"/>
                                <w:sz w:val="36"/>
                                <w:szCs w:val="36"/>
                              </w:rPr>
                              <w:t xml:space="preserve"> – Ohio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639A2" id="_x0000_t202" coordsize="21600,21600" o:spt="202" path="m,l,21600r21600,l21600,xe">
                <v:stroke joinstyle="miter"/>
                <v:path gradientshapeok="t" o:connecttype="rect"/>
              </v:shapetype>
              <v:shape id="Text Box 2" o:spid="_x0000_s1026" type="#_x0000_t202" style="position:absolute;margin-left:-.05pt;margin-top:-36pt;width:400.4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Qz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ZBEs/DGKMKbHMSpb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" filled="f" stroked="f">
                <v:textbox>
                  <w:txbxContent>
                    <w:p w14:paraId="3A22EDBC" w14:textId="77777777" w:rsidR="00964C5B" w:rsidRPr="005A6E26" w:rsidRDefault="00D41E86" w:rsidP="00F31833">
                      <w:pPr>
                        <w:jc w:val="center"/>
                        <w:rPr>
                          <w:b/>
                          <w:color w:val="FFFFFF"/>
                          <w:sz w:val="36"/>
                          <w:szCs w:val="36"/>
                        </w:rPr>
                      </w:pPr>
                      <w:r>
                        <w:rPr>
                          <w:b/>
                          <w:color w:val="FFFFFF"/>
                          <w:sz w:val="36"/>
                          <w:szCs w:val="36"/>
                        </w:rPr>
                        <w:t>Health Insurance Expansion</w:t>
                      </w:r>
                      <w:r>
                        <w:rPr>
                          <w:b/>
                          <w:color w:val="FFFFFF"/>
                          <w:sz w:val="36"/>
                          <w:szCs w:val="36"/>
                        </w:rPr>
                        <w:br/>
                      </w:r>
                      <w:r w:rsidR="009D6740">
                        <w:rPr>
                          <w:b/>
                          <w:color w:val="FFFFFF"/>
                          <w:sz w:val="36"/>
                          <w:szCs w:val="36"/>
                        </w:rPr>
                        <w:t xml:space="preserve">State </w:t>
                      </w:r>
                      <w:r>
                        <w:rPr>
                          <w:b/>
                          <w:color w:val="FFFFFF"/>
                          <w:sz w:val="36"/>
                          <w:szCs w:val="36"/>
                        </w:rPr>
                        <w:t>Spotlight</w:t>
                      </w:r>
                      <w:r w:rsidR="009D6740">
                        <w:rPr>
                          <w:b/>
                          <w:color w:val="FFFFFF"/>
                          <w:sz w:val="36"/>
                          <w:szCs w:val="36"/>
                        </w:rPr>
                        <w:t xml:space="preserve"> – Ohio</w:t>
                      </w:r>
                    </w:p>
                  </w:txbxContent>
                </v:textbox>
                <w10:wrap type="square" anchorx="margin" anchory="margin"/>
              </v:shape>
            </w:pict>
          </mc:Fallback>
        </mc:AlternateContent>
      </w:r>
      <w:r w:rsidR="009D6740">
        <w:rPr>
          <w:rFonts w:eastAsia="Times New Roman"/>
          <w:spacing w:val="-2"/>
        </w:rPr>
        <w:t xml:space="preserve">Since </w:t>
      </w:r>
      <w:r w:rsidR="0034761F">
        <w:rPr>
          <w:rFonts w:eastAsia="Times New Roman"/>
          <w:spacing w:val="-2"/>
        </w:rPr>
        <w:t xml:space="preserve">passage of the health care law in </w:t>
      </w:r>
      <w:r w:rsidR="009D6740">
        <w:rPr>
          <w:rFonts w:eastAsia="Times New Roman"/>
          <w:spacing w:val="-2"/>
        </w:rPr>
        <w:t xml:space="preserve">2010 there have been significant changes in health </w:t>
      </w:r>
      <w:r w:rsidR="00D41E86">
        <w:rPr>
          <w:rFonts w:eastAsia="Times New Roman"/>
          <w:spacing w:val="-2"/>
        </w:rPr>
        <w:t xml:space="preserve">insurance </w:t>
      </w:r>
      <w:r w:rsidR="001C37A3">
        <w:rPr>
          <w:rFonts w:eastAsia="Times New Roman"/>
          <w:spacing w:val="-2"/>
        </w:rPr>
        <w:t>that have protected patients</w:t>
      </w:r>
      <w:r w:rsidR="00D41E86">
        <w:rPr>
          <w:rFonts w:eastAsia="Times New Roman"/>
          <w:spacing w:val="-2"/>
        </w:rPr>
        <w:t xml:space="preserve">.  Nationally, </w:t>
      </w:r>
      <w:r w:rsidR="00E87B4A">
        <w:rPr>
          <w:rFonts w:eastAsia="Times New Roman"/>
          <w:spacing w:val="-2"/>
        </w:rPr>
        <w:t>approximately 30 million Americans have gained health insurance coverage through the marketplaces, Medicaid expansion, and young adults being able to stay on their parents’ insurance plans.</w:t>
      </w:r>
      <w:r w:rsidR="00E87B4A">
        <w:rPr>
          <w:rStyle w:val="EndnoteReference"/>
          <w:rFonts w:eastAsia="Times New Roman"/>
          <w:spacing w:val="-2"/>
        </w:rPr>
        <w:endnoteReference w:id="1"/>
      </w:r>
      <w:r w:rsidR="00E87B4A" w:rsidRPr="00356650">
        <w:rPr>
          <w:rFonts w:eastAsia="Times New Roman"/>
          <w:spacing w:val="-2"/>
          <w:vertAlign w:val="superscript"/>
        </w:rPr>
        <w:t>,</w:t>
      </w:r>
      <w:r w:rsidR="00E87B4A">
        <w:rPr>
          <w:rStyle w:val="EndnoteReference"/>
          <w:rFonts w:eastAsia="Times New Roman"/>
          <w:spacing w:val="-2"/>
        </w:rPr>
        <w:endnoteReference w:id="2"/>
      </w:r>
      <w:r w:rsidR="00E87B4A">
        <w:rPr>
          <w:rFonts w:eastAsia="Times New Roman"/>
          <w:spacing w:val="-2"/>
        </w:rPr>
        <w:t xml:space="preserve">  </w:t>
      </w:r>
      <w:r w:rsidR="00D41E86">
        <w:rPr>
          <w:rFonts w:eastAsia="Times New Roman"/>
          <w:spacing w:val="-2"/>
        </w:rPr>
        <w:t>Th</w:t>
      </w:r>
      <w:r w:rsidR="0034761F">
        <w:rPr>
          <w:rFonts w:eastAsia="Times New Roman"/>
          <w:spacing w:val="-2"/>
        </w:rPr>
        <w:t xml:space="preserve">is fact sheet </w:t>
      </w:r>
      <w:r w:rsidR="00D41E86">
        <w:rPr>
          <w:rFonts w:eastAsia="Times New Roman"/>
          <w:spacing w:val="-2"/>
        </w:rPr>
        <w:t xml:space="preserve">provides information on how changes to the health care market have </w:t>
      </w:r>
      <w:r w:rsidR="0034761F">
        <w:rPr>
          <w:rFonts w:eastAsia="Times New Roman"/>
          <w:spacing w:val="-2"/>
        </w:rPr>
        <w:t xml:space="preserve">directly </w:t>
      </w:r>
      <w:r w:rsidR="00712E7B">
        <w:rPr>
          <w:rFonts w:eastAsia="Times New Roman"/>
          <w:spacing w:val="-2"/>
        </w:rPr>
        <w:t>affected</w:t>
      </w:r>
      <w:r w:rsidR="00D41E86">
        <w:rPr>
          <w:rFonts w:eastAsia="Times New Roman"/>
          <w:spacing w:val="-2"/>
        </w:rPr>
        <w:t xml:space="preserve"> the state of Ohio.</w:t>
      </w:r>
    </w:p>
    <w:p w14:paraId="3163B3B2" w14:textId="4E3B2F61" w:rsidR="00B173B7" w:rsidRPr="00C37422" w:rsidRDefault="00B173B7" w:rsidP="00877A88">
      <w:pPr>
        <w:spacing w:before="120" w:after="0" w:line="240" w:lineRule="auto"/>
        <w:ind w:right="101"/>
        <w:rPr>
          <w:rFonts w:eastAsia="Times New Roman"/>
          <w:i/>
          <w:spacing w:val="-2"/>
          <w:sz w:val="28"/>
          <w:szCs w:val="28"/>
          <w:u w:val="single"/>
        </w:rPr>
      </w:pPr>
      <w:r w:rsidRPr="00C37422">
        <w:rPr>
          <w:rFonts w:eastAsia="Times New Roman"/>
          <w:i/>
          <w:spacing w:val="-2"/>
          <w:sz w:val="28"/>
          <w:szCs w:val="28"/>
          <w:u w:val="single"/>
        </w:rPr>
        <w:t xml:space="preserve">Health Insurance Matters </w:t>
      </w:r>
    </w:p>
    <w:p w14:paraId="58F17EAB" w14:textId="750DA495" w:rsidR="00B173B7" w:rsidRPr="00C37422" w:rsidRDefault="00B173B7" w:rsidP="00877A88">
      <w:pPr>
        <w:spacing w:before="120" w:after="0" w:line="240" w:lineRule="auto"/>
        <w:ind w:right="101"/>
        <w:rPr>
          <w:rFonts w:eastAsia="Times New Roman"/>
          <w:spacing w:val="-2"/>
        </w:rPr>
      </w:pPr>
      <w:r w:rsidRPr="00C37422">
        <w:rPr>
          <w:rFonts w:eastAsia="Times New Roman"/>
          <w:spacing w:val="-2"/>
        </w:rPr>
        <w:t>Research by the American Cancer Society shows that uninsured Americans are less likely to get screened for cancer, more likely to have their cancer diagnosed at an advanced stage, and less likely to survive that diagnosis than their insured counterparts.</w:t>
      </w:r>
      <w:r w:rsidR="00C37422" w:rsidRPr="00C37422">
        <w:rPr>
          <w:rStyle w:val="EndnoteReference"/>
          <w:rFonts w:eastAsia="Times New Roman"/>
          <w:spacing w:val="-2"/>
        </w:rPr>
        <w:endnoteReference w:id="3"/>
      </w:r>
      <w:r w:rsidR="00C37422" w:rsidRPr="00C37422">
        <w:rPr>
          <w:rFonts w:eastAsia="Times New Roman"/>
          <w:spacing w:val="-2"/>
        </w:rPr>
        <w:t xml:space="preserve"> </w:t>
      </w:r>
      <w:r w:rsidRPr="00C37422">
        <w:rPr>
          <w:rFonts w:eastAsia="Times New Roman"/>
          <w:spacing w:val="-2"/>
        </w:rPr>
        <w:t xml:space="preserve"> Thus, having access to comprehensive health insurance coverage is particularly important for the </w:t>
      </w:r>
      <w:r w:rsidRPr="00C37422">
        <w:rPr>
          <w:rFonts w:eastAsia="Times New Roman"/>
          <w:b/>
          <w:spacing w:val="-2"/>
        </w:rPr>
        <w:t>66,020</w:t>
      </w:r>
      <w:r w:rsidRPr="00C37422">
        <w:rPr>
          <w:rFonts w:eastAsia="Times New Roman"/>
          <w:spacing w:val="-2"/>
        </w:rPr>
        <w:t xml:space="preserve"> </w:t>
      </w:r>
      <w:r w:rsidRPr="00C37422">
        <w:rPr>
          <w:rFonts w:eastAsia="Times New Roman"/>
          <w:b/>
          <w:spacing w:val="-2"/>
        </w:rPr>
        <w:t>Ohioans</w:t>
      </w:r>
      <w:r w:rsidRPr="00C37422">
        <w:rPr>
          <w:rFonts w:eastAsia="Times New Roman"/>
          <w:spacing w:val="-2"/>
        </w:rPr>
        <w:t xml:space="preserve"> who are expected to be diagnosed with cancer in 2016</w:t>
      </w:r>
      <w:r w:rsidR="00C37422" w:rsidRPr="00C37422">
        <w:rPr>
          <w:rStyle w:val="EndnoteReference"/>
          <w:rFonts w:eastAsia="Times New Roman"/>
          <w:spacing w:val="-2"/>
        </w:rPr>
        <w:endnoteReference w:id="4"/>
      </w:r>
      <w:r w:rsidR="00C37422" w:rsidRPr="00C37422">
        <w:rPr>
          <w:rFonts w:eastAsia="Times New Roman"/>
          <w:spacing w:val="-2"/>
        </w:rPr>
        <w:t xml:space="preserve"> </w:t>
      </w:r>
      <w:r w:rsidRPr="00C37422">
        <w:rPr>
          <w:rFonts w:eastAsia="Times New Roman"/>
          <w:spacing w:val="-2"/>
        </w:rPr>
        <w:t xml:space="preserve">and the estimated </w:t>
      </w:r>
      <w:r w:rsidRPr="00C37422">
        <w:rPr>
          <w:rFonts w:eastAsia="Times New Roman"/>
          <w:b/>
          <w:spacing w:val="-2"/>
        </w:rPr>
        <w:t>536,430 Ohioans</w:t>
      </w:r>
      <w:r w:rsidRPr="00C37422">
        <w:rPr>
          <w:rFonts w:eastAsia="Times New Roman"/>
          <w:spacing w:val="-2"/>
        </w:rPr>
        <w:t xml:space="preserve"> who are cancer survivors.</w:t>
      </w:r>
      <w:r w:rsidR="00C37422" w:rsidRPr="00C37422">
        <w:rPr>
          <w:rStyle w:val="EndnoteReference"/>
          <w:rFonts w:eastAsia="Times New Roman"/>
          <w:spacing w:val="-2"/>
        </w:rPr>
        <w:endnoteReference w:id="5"/>
      </w:r>
      <w:r w:rsidR="00C37422" w:rsidRPr="00C37422">
        <w:rPr>
          <w:rFonts w:eastAsia="Times New Roman"/>
          <w:spacing w:val="-2"/>
        </w:rPr>
        <w:t xml:space="preserve"> </w:t>
      </w:r>
    </w:p>
    <w:p w14:paraId="43953924" w14:textId="709B2ED0" w:rsidR="00BE62D2" w:rsidRPr="00C37422" w:rsidRDefault="007B75E0" w:rsidP="00877A88">
      <w:pPr>
        <w:spacing w:before="120" w:after="0" w:line="240" w:lineRule="auto"/>
        <w:ind w:right="101"/>
        <w:rPr>
          <w:rFonts w:eastAsia="Times New Roman"/>
          <w:i/>
          <w:spacing w:val="-2"/>
          <w:sz w:val="28"/>
          <w:szCs w:val="28"/>
          <w:u w:val="single"/>
        </w:rPr>
      </w:pPr>
      <w:r>
        <w:rPr>
          <w:noProof/>
        </w:rPr>
        <w:drawing>
          <wp:anchor distT="0" distB="0" distL="114300" distR="114300" simplePos="0" relativeHeight="251660288" behindDoc="0" locked="0" layoutInCell="1" allowOverlap="1" wp14:anchorId="0029D866" wp14:editId="307F32B8">
            <wp:simplePos x="0" y="0"/>
            <wp:positionH relativeFrom="margin">
              <wp:posOffset>4683337</wp:posOffset>
            </wp:positionH>
            <wp:positionV relativeFrom="margin">
              <wp:posOffset>2810510</wp:posOffset>
            </wp:positionV>
            <wp:extent cx="1929130" cy="1205865"/>
            <wp:effectExtent l="0" t="0" r="0" b="0"/>
            <wp:wrapSquare wrapText="bothSides"/>
            <wp:docPr id="3" name="Picture 3" descr="http://www.pixnio.com/free-images/flags-of-the-world/state-flags-of-the-united-states-of-america/state-flag-of-ohio-725x4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xnio.com/free-images/flags-of-the-world/state-flags-of-the-united-states-of-america/state-flag-of-ohio-725x453.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130" cy="1205865"/>
                    </a:xfrm>
                    <a:prstGeom prst="rect">
                      <a:avLst/>
                    </a:prstGeom>
                    <a:noFill/>
                    <a:ln>
                      <a:noFill/>
                    </a:ln>
                  </pic:spPr>
                </pic:pic>
              </a:graphicData>
            </a:graphic>
          </wp:anchor>
        </w:drawing>
      </w:r>
      <w:r w:rsidR="001C37A3" w:rsidRPr="00C37422">
        <w:rPr>
          <w:rFonts w:eastAsia="Times New Roman"/>
          <w:i/>
          <w:spacing w:val="-2"/>
          <w:sz w:val="28"/>
          <w:szCs w:val="28"/>
          <w:u w:val="single"/>
        </w:rPr>
        <w:t xml:space="preserve">Reductions in the </w:t>
      </w:r>
      <w:r w:rsidR="0034761F" w:rsidRPr="00C37422">
        <w:rPr>
          <w:rFonts w:eastAsia="Times New Roman"/>
          <w:i/>
          <w:spacing w:val="-2"/>
          <w:sz w:val="28"/>
          <w:szCs w:val="28"/>
          <w:u w:val="single"/>
        </w:rPr>
        <w:t xml:space="preserve">Number of </w:t>
      </w:r>
      <w:r w:rsidR="00C04F11" w:rsidRPr="00C37422">
        <w:rPr>
          <w:rFonts w:eastAsia="Times New Roman"/>
          <w:i/>
          <w:spacing w:val="-2"/>
          <w:sz w:val="28"/>
          <w:szCs w:val="28"/>
          <w:u w:val="single"/>
        </w:rPr>
        <w:t>Uninsured</w:t>
      </w:r>
    </w:p>
    <w:p w14:paraId="4EBDFDCF" w14:textId="6AC2EEFB" w:rsidR="00BE62D2" w:rsidRPr="00C37422" w:rsidRDefault="00631356" w:rsidP="00877A88">
      <w:pPr>
        <w:spacing w:before="120" w:after="0" w:line="240" w:lineRule="auto"/>
        <w:ind w:right="101"/>
        <w:rPr>
          <w:rFonts w:eastAsia="Times New Roman"/>
          <w:spacing w:val="-2"/>
        </w:rPr>
      </w:pPr>
      <w:r w:rsidRPr="00C37422">
        <w:t>Since 2010, more Americans have enrolled in health insurance coverage, resulting in historically low rates of uninsured.  According to the U.S. Census, in 2015 the percentage of uninsured Americans without health insurance coverage for the entire year was 9.1 percent.</w:t>
      </w:r>
      <w:r w:rsidR="00C37422" w:rsidRPr="00C37422">
        <w:rPr>
          <w:rStyle w:val="EndnoteReference"/>
        </w:rPr>
        <w:endnoteReference w:id="6"/>
      </w:r>
      <w:r w:rsidR="00C37422" w:rsidRPr="00C37422">
        <w:t xml:space="preserve"> </w:t>
      </w:r>
      <w:r w:rsidRPr="00C37422">
        <w:t xml:space="preserve"> </w:t>
      </w:r>
      <w:r w:rsidR="00C04F11" w:rsidRPr="00C37422">
        <w:rPr>
          <w:rFonts w:eastAsia="Times New Roman"/>
          <w:spacing w:val="-2"/>
        </w:rPr>
        <w:t xml:space="preserve">Between 2010 and 2015, the rate of uninsured Ohioans decreased from </w:t>
      </w:r>
      <w:r w:rsidR="00C04F11" w:rsidRPr="00C37422">
        <w:rPr>
          <w:rFonts w:eastAsia="Times New Roman"/>
          <w:b/>
          <w:spacing w:val="-2"/>
        </w:rPr>
        <w:t>12.3 percent in 2010</w:t>
      </w:r>
      <w:r w:rsidR="00C04F11" w:rsidRPr="00C37422">
        <w:rPr>
          <w:rFonts w:eastAsia="Times New Roman"/>
          <w:spacing w:val="-2"/>
        </w:rPr>
        <w:t xml:space="preserve"> to </w:t>
      </w:r>
      <w:r w:rsidR="00C04F11" w:rsidRPr="00C37422">
        <w:rPr>
          <w:rFonts w:eastAsia="Times New Roman"/>
          <w:b/>
          <w:spacing w:val="-2"/>
        </w:rPr>
        <w:t>6.5 percent in 2015</w:t>
      </w:r>
      <w:r w:rsidR="00C04F11" w:rsidRPr="00C37422">
        <w:rPr>
          <w:rFonts w:eastAsia="Times New Roman"/>
          <w:spacing w:val="-2"/>
        </w:rPr>
        <w:t>.</w:t>
      </w:r>
      <w:r w:rsidR="00C37422" w:rsidRPr="00C37422">
        <w:rPr>
          <w:rStyle w:val="EndnoteReference"/>
          <w:rFonts w:eastAsia="Times New Roman"/>
          <w:spacing w:val="-2"/>
        </w:rPr>
        <w:endnoteReference w:id="7"/>
      </w:r>
      <w:r w:rsidR="00C37422" w:rsidRPr="00C37422">
        <w:rPr>
          <w:rFonts w:eastAsia="Times New Roman"/>
          <w:spacing w:val="-2"/>
        </w:rPr>
        <w:t xml:space="preserve"> </w:t>
      </w:r>
      <w:r w:rsidR="00C04F11" w:rsidRPr="00C37422">
        <w:rPr>
          <w:rFonts w:eastAsia="Times New Roman"/>
          <w:spacing w:val="-2"/>
        </w:rPr>
        <w:t xml:space="preserve"> </w:t>
      </w:r>
    </w:p>
    <w:p w14:paraId="69BEBEF8" w14:textId="77777777" w:rsidR="000F4F93" w:rsidRPr="00C37422" w:rsidRDefault="003E743D" w:rsidP="000F4F93">
      <w:pPr>
        <w:spacing w:before="120" w:after="0" w:line="240" w:lineRule="auto"/>
        <w:ind w:right="101"/>
        <w:rPr>
          <w:rFonts w:eastAsia="Times New Roman"/>
          <w:i/>
          <w:spacing w:val="-2"/>
          <w:sz w:val="28"/>
          <w:szCs w:val="28"/>
          <w:u w:val="single"/>
        </w:rPr>
      </w:pPr>
      <w:r w:rsidRPr="00C37422">
        <w:rPr>
          <w:rFonts w:eastAsia="Times New Roman"/>
          <w:i/>
          <w:spacing w:val="-2"/>
          <w:sz w:val="28"/>
          <w:szCs w:val="28"/>
          <w:u w:val="single"/>
        </w:rPr>
        <w:t xml:space="preserve">More Options in the </w:t>
      </w:r>
      <w:r w:rsidR="000F4F93" w:rsidRPr="00C37422">
        <w:rPr>
          <w:rFonts w:eastAsia="Times New Roman"/>
          <w:i/>
          <w:spacing w:val="-2"/>
          <w:sz w:val="28"/>
          <w:szCs w:val="28"/>
          <w:u w:val="single"/>
        </w:rPr>
        <w:t>Marketplace</w:t>
      </w:r>
      <w:r w:rsidR="001C37A3" w:rsidRPr="00C37422">
        <w:rPr>
          <w:rFonts w:eastAsia="Times New Roman"/>
          <w:i/>
          <w:spacing w:val="-2"/>
          <w:sz w:val="28"/>
          <w:szCs w:val="28"/>
          <w:u w:val="single"/>
        </w:rPr>
        <w:t xml:space="preserve"> </w:t>
      </w:r>
      <w:r w:rsidR="000F4F93" w:rsidRPr="00C37422">
        <w:rPr>
          <w:rFonts w:eastAsia="Times New Roman"/>
          <w:i/>
          <w:spacing w:val="-2"/>
          <w:sz w:val="28"/>
          <w:szCs w:val="28"/>
          <w:u w:val="single"/>
        </w:rPr>
        <w:t xml:space="preserve"> </w:t>
      </w:r>
    </w:p>
    <w:p w14:paraId="55B128F4" w14:textId="558503FF" w:rsidR="000F4F93" w:rsidRPr="00C37422" w:rsidRDefault="004708F1" w:rsidP="000F4F93">
      <w:pPr>
        <w:spacing w:before="120" w:after="0" w:line="240" w:lineRule="auto"/>
        <w:ind w:right="101"/>
        <w:rPr>
          <w:rFonts w:eastAsia="Times New Roman"/>
          <w:spacing w:val="-2"/>
        </w:rPr>
      </w:pPr>
      <w:r w:rsidRPr="00C37422">
        <w:rPr>
          <w:rFonts w:eastAsia="Times New Roman"/>
          <w:spacing w:val="-2"/>
        </w:rPr>
        <w:t>As of the first quarter</w:t>
      </w:r>
      <w:r w:rsidR="00E87B4A">
        <w:rPr>
          <w:rFonts w:eastAsia="Times New Roman"/>
          <w:spacing w:val="-2"/>
        </w:rPr>
        <w:t xml:space="preserve"> of</w:t>
      </w:r>
      <w:r w:rsidRPr="00C37422">
        <w:rPr>
          <w:rFonts w:eastAsia="Times New Roman"/>
          <w:spacing w:val="-2"/>
        </w:rPr>
        <w:t xml:space="preserve"> 2016, </w:t>
      </w:r>
      <w:r w:rsidRPr="005D3685">
        <w:rPr>
          <w:rFonts w:eastAsia="Times New Roman"/>
          <w:b/>
          <w:spacing w:val="-2"/>
        </w:rPr>
        <w:t>212,046 Ohioans</w:t>
      </w:r>
      <w:r w:rsidRPr="00C37422">
        <w:rPr>
          <w:rFonts w:eastAsia="Times New Roman"/>
          <w:spacing w:val="-2"/>
        </w:rPr>
        <w:t xml:space="preserve"> enrolled in a Marketplace </w:t>
      </w:r>
      <w:r w:rsidR="003E743D" w:rsidRPr="00C37422">
        <w:rPr>
          <w:rFonts w:eastAsia="Times New Roman"/>
          <w:spacing w:val="-2"/>
        </w:rPr>
        <w:t xml:space="preserve">insurance </w:t>
      </w:r>
      <w:r w:rsidRPr="00C37422">
        <w:rPr>
          <w:rFonts w:eastAsia="Times New Roman"/>
          <w:spacing w:val="-2"/>
        </w:rPr>
        <w:t xml:space="preserve">plan, with </w:t>
      </w:r>
      <w:r w:rsidRPr="00C37422">
        <w:rPr>
          <w:rFonts w:eastAsia="Times New Roman"/>
          <w:b/>
          <w:spacing w:val="-2"/>
        </w:rPr>
        <w:t xml:space="preserve">174,448 Ohioans </w:t>
      </w:r>
      <w:r w:rsidRPr="00C37422">
        <w:rPr>
          <w:rFonts w:eastAsia="Times New Roman"/>
          <w:spacing w:val="-2"/>
        </w:rPr>
        <w:t xml:space="preserve">qualifying for tax credits </w:t>
      </w:r>
      <w:r w:rsidRPr="00C37422">
        <w:rPr>
          <w:rFonts w:eastAsia="Times New Roman"/>
          <w:b/>
          <w:spacing w:val="-2"/>
        </w:rPr>
        <w:t>(82.</w:t>
      </w:r>
      <w:r w:rsidR="00FE4650">
        <w:rPr>
          <w:rFonts w:eastAsia="Times New Roman"/>
          <w:b/>
          <w:spacing w:val="-2"/>
        </w:rPr>
        <w:t>3</w:t>
      </w:r>
      <w:r w:rsidRPr="00C37422">
        <w:rPr>
          <w:rFonts w:eastAsia="Times New Roman"/>
          <w:b/>
          <w:spacing w:val="-2"/>
        </w:rPr>
        <w:t xml:space="preserve"> percent)</w:t>
      </w:r>
      <w:r w:rsidRPr="00C37422">
        <w:rPr>
          <w:rFonts w:eastAsia="Times New Roman"/>
          <w:spacing w:val="-2"/>
        </w:rPr>
        <w:t xml:space="preserve">.  The average monthly tax credit was $250.  Approximately </w:t>
      </w:r>
      <w:r w:rsidRPr="00C37422">
        <w:rPr>
          <w:rFonts w:eastAsia="Times New Roman"/>
          <w:b/>
          <w:spacing w:val="-2"/>
        </w:rPr>
        <w:t xml:space="preserve">95,312 Ohioans </w:t>
      </w:r>
      <w:r w:rsidR="005D3685" w:rsidRPr="00C37422">
        <w:rPr>
          <w:rFonts w:eastAsia="Times New Roman"/>
          <w:b/>
          <w:spacing w:val="-2"/>
        </w:rPr>
        <w:t>(</w:t>
      </w:r>
      <w:r w:rsidR="005D3685">
        <w:rPr>
          <w:rFonts w:eastAsia="Times New Roman"/>
          <w:b/>
          <w:spacing w:val="-2"/>
        </w:rPr>
        <w:t>44.9</w:t>
      </w:r>
      <w:r w:rsidR="005D3685" w:rsidRPr="00C37422">
        <w:rPr>
          <w:rFonts w:eastAsia="Times New Roman"/>
          <w:b/>
          <w:spacing w:val="-2"/>
        </w:rPr>
        <w:t xml:space="preserve"> percent) </w:t>
      </w:r>
      <w:r w:rsidRPr="00C37422">
        <w:rPr>
          <w:rFonts w:eastAsia="Times New Roman"/>
          <w:spacing w:val="-2"/>
        </w:rPr>
        <w:t xml:space="preserve">qualified for </w:t>
      </w:r>
      <w:r w:rsidR="00712E7B">
        <w:rPr>
          <w:rFonts w:eastAsia="Times New Roman"/>
          <w:spacing w:val="-2"/>
        </w:rPr>
        <w:t>plans with reduced cost-sharing</w:t>
      </w:r>
      <w:r w:rsidRPr="00C37422">
        <w:rPr>
          <w:rFonts w:eastAsia="Times New Roman"/>
          <w:spacing w:val="-2"/>
        </w:rPr>
        <w:t xml:space="preserve">.  </w:t>
      </w:r>
    </w:p>
    <w:p w14:paraId="087CF1F5" w14:textId="77777777" w:rsidR="009A4C8C" w:rsidRPr="00C37422" w:rsidRDefault="001C37A3" w:rsidP="00877A88">
      <w:pPr>
        <w:spacing w:before="120" w:after="0" w:line="240" w:lineRule="auto"/>
        <w:ind w:right="101"/>
        <w:rPr>
          <w:rFonts w:eastAsia="Times New Roman"/>
          <w:i/>
          <w:spacing w:val="-2"/>
          <w:sz w:val="28"/>
          <w:szCs w:val="28"/>
          <w:u w:val="single"/>
        </w:rPr>
      </w:pPr>
      <w:r w:rsidRPr="00C37422">
        <w:rPr>
          <w:rFonts w:eastAsia="Times New Roman"/>
          <w:i/>
          <w:spacing w:val="-2"/>
          <w:sz w:val="28"/>
          <w:szCs w:val="28"/>
          <w:u w:val="single"/>
        </w:rPr>
        <w:t xml:space="preserve">No </w:t>
      </w:r>
      <w:r w:rsidR="006F4CC0" w:rsidRPr="00C37422">
        <w:rPr>
          <w:rFonts w:eastAsia="Times New Roman"/>
          <w:i/>
          <w:spacing w:val="-2"/>
          <w:sz w:val="28"/>
          <w:szCs w:val="28"/>
          <w:u w:val="single"/>
        </w:rPr>
        <w:t>Lifetime and Annual Limits</w:t>
      </w:r>
    </w:p>
    <w:p w14:paraId="3C5B0B43" w14:textId="5B711167" w:rsidR="006F4CC0" w:rsidRPr="00C37422" w:rsidRDefault="006F4CC0" w:rsidP="006F4CC0">
      <w:pPr>
        <w:spacing w:before="120" w:after="0" w:line="240" w:lineRule="auto"/>
        <w:ind w:right="101"/>
        <w:rPr>
          <w:rFonts w:eastAsia="Times New Roman"/>
          <w:spacing w:val="-2"/>
        </w:rPr>
      </w:pPr>
      <w:r w:rsidRPr="00C37422">
        <w:rPr>
          <w:rFonts w:eastAsia="Times New Roman"/>
          <w:spacing w:val="-2"/>
        </w:rPr>
        <w:t>Current federal requirements prohibit all insurance plans from limiting both the lifetime and annual dollar value of benefits.</w:t>
      </w:r>
      <w:r w:rsidR="00C37422" w:rsidRPr="00C37422">
        <w:rPr>
          <w:rStyle w:val="EndnoteReference"/>
          <w:rFonts w:eastAsia="Times New Roman"/>
          <w:spacing w:val="-2"/>
        </w:rPr>
        <w:endnoteReference w:id="8"/>
      </w:r>
      <w:r w:rsidR="00C37422" w:rsidRPr="00C37422">
        <w:rPr>
          <w:rFonts w:eastAsia="Times New Roman"/>
          <w:spacing w:val="-2"/>
        </w:rPr>
        <w:t xml:space="preserve"> </w:t>
      </w:r>
      <w:r w:rsidRPr="00C37422">
        <w:rPr>
          <w:rFonts w:eastAsia="Times New Roman"/>
          <w:spacing w:val="-2"/>
        </w:rPr>
        <w:t xml:space="preserve"> Be</w:t>
      </w:r>
      <w:r w:rsidR="00E87B4A">
        <w:rPr>
          <w:rFonts w:eastAsia="Times New Roman"/>
          <w:spacing w:val="-2"/>
        </w:rPr>
        <w:t>fore these protections</w:t>
      </w:r>
      <w:r w:rsidRPr="00C37422">
        <w:rPr>
          <w:rFonts w:eastAsia="Times New Roman"/>
          <w:spacing w:val="-2"/>
        </w:rPr>
        <w:t xml:space="preserve">, </w:t>
      </w:r>
      <w:r w:rsidRPr="00C37422">
        <w:rPr>
          <w:rFonts w:eastAsia="Times New Roman"/>
          <w:b/>
          <w:spacing w:val="-2"/>
        </w:rPr>
        <w:t>4,154,000 Ohioans</w:t>
      </w:r>
      <w:r w:rsidRPr="00C37422">
        <w:rPr>
          <w:rFonts w:eastAsia="Times New Roman"/>
          <w:spacing w:val="-2"/>
        </w:rPr>
        <w:t xml:space="preserve"> </w:t>
      </w:r>
      <w:r w:rsidR="0034761F" w:rsidRPr="00C37422">
        <w:rPr>
          <w:rFonts w:eastAsia="Times New Roman"/>
          <w:spacing w:val="-2"/>
        </w:rPr>
        <w:t xml:space="preserve">– many of them cancer patients and survivors - </w:t>
      </w:r>
      <w:r w:rsidRPr="00C37422">
        <w:rPr>
          <w:rFonts w:eastAsia="Times New Roman"/>
          <w:spacing w:val="-2"/>
        </w:rPr>
        <w:t>were enrolled in health plans</w:t>
      </w:r>
      <w:r w:rsidR="00E87B4A">
        <w:rPr>
          <w:rFonts w:eastAsia="Times New Roman"/>
          <w:spacing w:val="-2"/>
        </w:rPr>
        <w:t xml:space="preserve"> in 2008-2010</w:t>
      </w:r>
      <w:r w:rsidRPr="00C37422">
        <w:rPr>
          <w:rFonts w:eastAsia="Times New Roman"/>
          <w:spacing w:val="-2"/>
        </w:rPr>
        <w:t xml:space="preserve"> that imposed lifetime limits on their health benefits, </w:t>
      </w:r>
      <w:r w:rsidR="00712E7B">
        <w:rPr>
          <w:rFonts w:eastAsia="Times New Roman"/>
          <w:spacing w:val="-2"/>
        </w:rPr>
        <w:t>affecting</w:t>
      </w:r>
      <w:r w:rsidRPr="00C37422">
        <w:rPr>
          <w:rFonts w:eastAsia="Times New Roman"/>
          <w:spacing w:val="-2"/>
        </w:rPr>
        <w:t>:</w:t>
      </w:r>
    </w:p>
    <w:p w14:paraId="0BCBD938" w14:textId="77777777" w:rsidR="006F4CC0" w:rsidRPr="00C37422" w:rsidRDefault="006F4CC0" w:rsidP="006F4CC0">
      <w:pPr>
        <w:pStyle w:val="ListParagraph"/>
        <w:numPr>
          <w:ilvl w:val="0"/>
          <w:numId w:val="11"/>
        </w:numPr>
        <w:spacing w:before="120" w:after="0" w:line="240" w:lineRule="auto"/>
        <w:ind w:right="101"/>
        <w:rPr>
          <w:rFonts w:eastAsia="Times New Roman"/>
          <w:spacing w:val="-2"/>
        </w:rPr>
      </w:pPr>
      <w:r w:rsidRPr="00C37422">
        <w:rPr>
          <w:rFonts w:eastAsia="Times New Roman"/>
          <w:spacing w:val="-2"/>
        </w:rPr>
        <w:t>1,100,000 children;</w:t>
      </w:r>
    </w:p>
    <w:p w14:paraId="2658DE96" w14:textId="36E94BEB" w:rsidR="006F4CC0" w:rsidRPr="00C37422" w:rsidRDefault="006F4CC0" w:rsidP="006F4CC0">
      <w:pPr>
        <w:pStyle w:val="ListParagraph"/>
        <w:numPr>
          <w:ilvl w:val="0"/>
          <w:numId w:val="11"/>
        </w:numPr>
        <w:spacing w:before="120" w:after="0" w:line="240" w:lineRule="auto"/>
        <w:ind w:right="101"/>
        <w:rPr>
          <w:rFonts w:eastAsia="Times New Roman"/>
          <w:spacing w:val="-2"/>
        </w:rPr>
      </w:pPr>
      <w:r w:rsidRPr="00C37422">
        <w:rPr>
          <w:rFonts w:eastAsia="Times New Roman"/>
          <w:spacing w:val="-2"/>
        </w:rPr>
        <w:t xml:space="preserve">1,512,000 adult </w:t>
      </w:r>
      <w:r w:rsidR="00712E7B">
        <w:rPr>
          <w:rFonts w:eastAsia="Times New Roman"/>
          <w:spacing w:val="-2"/>
        </w:rPr>
        <w:t>men</w:t>
      </w:r>
      <w:r w:rsidRPr="00C37422">
        <w:rPr>
          <w:rFonts w:eastAsia="Times New Roman"/>
          <w:spacing w:val="-2"/>
        </w:rPr>
        <w:t xml:space="preserve">; and </w:t>
      </w:r>
    </w:p>
    <w:p w14:paraId="3A5FDE89" w14:textId="0D5AAE0B" w:rsidR="006F4CC0" w:rsidRPr="00C37422" w:rsidRDefault="00712E7B" w:rsidP="006F4CC0">
      <w:pPr>
        <w:pStyle w:val="ListParagraph"/>
        <w:numPr>
          <w:ilvl w:val="0"/>
          <w:numId w:val="11"/>
        </w:numPr>
        <w:spacing w:before="120" w:after="0" w:line="240" w:lineRule="auto"/>
        <w:ind w:right="101"/>
        <w:rPr>
          <w:rFonts w:eastAsia="Times New Roman"/>
          <w:spacing w:val="-2"/>
        </w:rPr>
      </w:pPr>
      <w:r>
        <w:rPr>
          <w:rFonts w:eastAsia="Times New Roman"/>
          <w:spacing w:val="-2"/>
        </w:rPr>
        <w:t>1,542,000 adult women</w:t>
      </w:r>
      <w:r w:rsidR="006F4CC0" w:rsidRPr="00C37422">
        <w:rPr>
          <w:rFonts w:eastAsia="Times New Roman"/>
          <w:spacing w:val="-2"/>
        </w:rPr>
        <w:t xml:space="preserve">.  </w:t>
      </w:r>
    </w:p>
    <w:p w14:paraId="0AE8F089" w14:textId="77777777" w:rsidR="006F4CC0" w:rsidRPr="00005BE7" w:rsidRDefault="001C37A3" w:rsidP="006F4CC0">
      <w:pPr>
        <w:spacing w:before="120" w:after="0" w:line="240" w:lineRule="auto"/>
        <w:ind w:right="101"/>
        <w:rPr>
          <w:rFonts w:eastAsia="Times New Roman"/>
          <w:i/>
          <w:spacing w:val="-2"/>
          <w:sz w:val="28"/>
          <w:szCs w:val="28"/>
          <w:u w:val="single"/>
        </w:rPr>
      </w:pPr>
      <w:r w:rsidRPr="00005BE7">
        <w:rPr>
          <w:rFonts w:eastAsia="Times New Roman"/>
          <w:i/>
          <w:spacing w:val="-2"/>
          <w:sz w:val="28"/>
          <w:szCs w:val="28"/>
          <w:u w:val="single"/>
        </w:rPr>
        <w:t xml:space="preserve">Wider Coverage of </w:t>
      </w:r>
      <w:r w:rsidR="006F4CC0" w:rsidRPr="00005BE7">
        <w:rPr>
          <w:rFonts w:eastAsia="Times New Roman"/>
          <w:i/>
          <w:spacing w:val="-2"/>
          <w:sz w:val="28"/>
          <w:szCs w:val="28"/>
          <w:u w:val="single"/>
        </w:rPr>
        <w:t>Preventive Benefits</w:t>
      </w:r>
    </w:p>
    <w:p w14:paraId="2560652E" w14:textId="69BD0BFB" w:rsidR="006F4CC0" w:rsidRDefault="004B3E56" w:rsidP="006F4CC0">
      <w:pPr>
        <w:spacing w:before="120" w:after="0" w:line="240" w:lineRule="auto"/>
        <w:ind w:right="101"/>
        <w:rPr>
          <w:rFonts w:eastAsia="Times New Roman"/>
          <w:spacing w:val="-2"/>
        </w:rPr>
      </w:pPr>
      <w:r>
        <w:rPr>
          <w:rFonts w:eastAsia="Times New Roman"/>
          <w:spacing w:val="-2"/>
        </w:rPr>
        <w:t xml:space="preserve">Current federal law provides enhanced coverage of early detection and/or prevention </w:t>
      </w:r>
      <w:r w:rsidR="0034761F">
        <w:rPr>
          <w:rFonts w:eastAsia="Times New Roman"/>
          <w:spacing w:val="-2"/>
        </w:rPr>
        <w:t>services.</w:t>
      </w:r>
      <w:r>
        <w:rPr>
          <w:rFonts w:eastAsia="Times New Roman"/>
          <w:spacing w:val="-2"/>
        </w:rPr>
        <w:t xml:space="preserve">  These </w:t>
      </w:r>
      <w:r w:rsidR="0034761F">
        <w:rPr>
          <w:rFonts w:eastAsia="Times New Roman"/>
          <w:spacing w:val="-2"/>
        </w:rPr>
        <w:t>services</w:t>
      </w:r>
      <w:r>
        <w:rPr>
          <w:rFonts w:eastAsia="Times New Roman"/>
          <w:spacing w:val="-2"/>
        </w:rPr>
        <w:t xml:space="preserve"> are crucial to reducing the incidence and impact of cancer in the U.S.  They are also crucial in helping cancer survivors remain cancer-free and lead healthy lives.  Between 2013-2015, </w:t>
      </w:r>
      <w:r w:rsidRPr="00765B96">
        <w:rPr>
          <w:rFonts w:eastAsia="Times New Roman"/>
          <w:b/>
          <w:spacing w:val="-2"/>
        </w:rPr>
        <w:t>5,240,575</w:t>
      </w:r>
      <w:r w:rsidR="001C37A3" w:rsidRPr="00765B96">
        <w:rPr>
          <w:rFonts w:eastAsia="Times New Roman"/>
          <w:b/>
          <w:spacing w:val="-2"/>
        </w:rPr>
        <w:t xml:space="preserve"> </w:t>
      </w:r>
      <w:r w:rsidRPr="00765B96">
        <w:rPr>
          <w:rFonts w:eastAsia="Times New Roman"/>
          <w:b/>
          <w:spacing w:val="-2"/>
        </w:rPr>
        <w:t>Ohioans</w:t>
      </w:r>
      <w:r>
        <w:rPr>
          <w:rFonts w:eastAsia="Times New Roman"/>
          <w:spacing w:val="-2"/>
        </w:rPr>
        <w:t xml:space="preserve"> were enrolled in private coverage that provided preventive services</w:t>
      </w:r>
      <w:r w:rsidR="00E87B4A">
        <w:rPr>
          <w:rFonts w:eastAsia="Times New Roman"/>
          <w:spacing w:val="-2"/>
        </w:rPr>
        <w:t xml:space="preserve"> with no cost-sharing</w:t>
      </w:r>
      <w:r>
        <w:rPr>
          <w:rFonts w:eastAsia="Times New Roman"/>
          <w:spacing w:val="-2"/>
        </w:rPr>
        <w:t>, including:</w:t>
      </w:r>
    </w:p>
    <w:p w14:paraId="7E164C08" w14:textId="77777777" w:rsidR="004B3E56" w:rsidRDefault="004B3E56" w:rsidP="004B3E56">
      <w:pPr>
        <w:pStyle w:val="ListParagraph"/>
        <w:numPr>
          <w:ilvl w:val="0"/>
          <w:numId w:val="12"/>
        </w:numPr>
        <w:spacing w:before="120" w:after="0" w:line="240" w:lineRule="auto"/>
        <w:ind w:right="101"/>
        <w:rPr>
          <w:rFonts w:eastAsia="Times New Roman"/>
          <w:spacing w:val="-2"/>
        </w:rPr>
      </w:pPr>
      <w:r>
        <w:rPr>
          <w:rFonts w:eastAsia="Times New Roman"/>
          <w:spacing w:val="-2"/>
        </w:rPr>
        <w:t>1,070,945 children;</w:t>
      </w:r>
    </w:p>
    <w:p w14:paraId="386FC332" w14:textId="60737613" w:rsidR="004B3E56" w:rsidRDefault="004B3E56" w:rsidP="004B3E56">
      <w:pPr>
        <w:pStyle w:val="ListParagraph"/>
        <w:numPr>
          <w:ilvl w:val="0"/>
          <w:numId w:val="12"/>
        </w:numPr>
        <w:spacing w:before="120" w:after="0" w:line="240" w:lineRule="auto"/>
        <w:ind w:right="101"/>
        <w:rPr>
          <w:rFonts w:eastAsia="Times New Roman"/>
          <w:spacing w:val="-2"/>
        </w:rPr>
      </w:pPr>
      <w:r>
        <w:rPr>
          <w:rFonts w:eastAsia="Times New Roman"/>
          <w:spacing w:val="-2"/>
        </w:rPr>
        <w:t xml:space="preserve">2,049,292 adult </w:t>
      </w:r>
      <w:r w:rsidR="00712E7B">
        <w:rPr>
          <w:rFonts w:eastAsia="Times New Roman"/>
          <w:spacing w:val="-2"/>
        </w:rPr>
        <w:t>men</w:t>
      </w:r>
      <w:r>
        <w:rPr>
          <w:rFonts w:eastAsia="Times New Roman"/>
          <w:spacing w:val="-2"/>
        </w:rPr>
        <w:t>; and</w:t>
      </w:r>
    </w:p>
    <w:p w14:paraId="32A02B68" w14:textId="77777777" w:rsidR="004B3E56" w:rsidRDefault="004B3E56" w:rsidP="004B3E56">
      <w:pPr>
        <w:pStyle w:val="ListParagraph"/>
        <w:numPr>
          <w:ilvl w:val="0"/>
          <w:numId w:val="12"/>
        </w:numPr>
        <w:spacing w:before="120" w:after="0" w:line="240" w:lineRule="auto"/>
        <w:ind w:right="101"/>
        <w:rPr>
          <w:rFonts w:eastAsia="Times New Roman"/>
          <w:spacing w:val="-2"/>
        </w:rPr>
      </w:pPr>
      <w:r>
        <w:rPr>
          <w:rFonts w:eastAsia="Times New Roman"/>
          <w:spacing w:val="-2"/>
        </w:rPr>
        <w:t>2,120,337 adult women.</w:t>
      </w:r>
    </w:p>
    <w:p w14:paraId="45AE113E" w14:textId="2B55BDB9" w:rsidR="00C37422" w:rsidRPr="00C37422" w:rsidRDefault="00C37422" w:rsidP="00C37422">
      <w:pPr>
        <w:spacing w:before="120" w:after="0" w:line="240" w:lineRule="auto"/>
        <w:ind w:right="101"/>
        <w:rPr>
          <w:rFonts w:eastAsia="Times New Roman"/>
          <w:spacing w:val="-2"/>
        </w:rPr>
      </w:pPr>
      <w:r>
        <w:t xml:space="preserve">The Prevention and Public Health Fund provides almost 30 percent of all Centers for Disease Control and </w:t>
      </w:r>
      <w:r>
        <w:lastRenderedPageBreak/>
        <w:t>Prevention funding.</w:t>
      </w:r>
      <w:r>
        <w:rPr>
          <w:rStyle w:val="EndnoteReference"/>
        </w:rPr>
        <w:endnoteReference w:id="9"/>
      </w:r>
      <w:r>
        <w:t xml:space="preserve">  Between 2010-2015, Ohio has received </w:t>
      </w:r>
      <w:r w:rsidRPr="00C37422">
        <w:rPr>
          <w:b/>
        </w:rPr>
        <w:t>$78 million</w:t>
      </w:r>
      <w:r>
        <w:t xml:space="preserve"> from the Prevention and Public Health Fund for addressing chronic disease</w:t>
      </w:r>
      <w:r w:rsidR="00E87B4A">
        <w:t>s</w:t>
      </w:r>
      <w:r>
        <w:t>, like cancer.</w:t>
      </w:r>
      <w:r>
        <w:rPr>
          <w:rStyle w:val="EndnoteReference"/>
        </w:rPr>
        <w:endnoteReference w:id="10"/>
      </w:r>
      <w:r>
        <w:t xml:space="preserve"> </w:t>
      </w:r>
    </w:p>
    <w:p w14:paraId="41D856E8" w14:textId="77777777" w:rsidR="004B3E56" w:rsidRPr="00005BE7" w:rsidRDefault="00223BA4" w:rsidP="004B3E56">
      <w:pPr>
        <w:spacing w:before="120" w:after="0" w:line="240" w:lineRule="auto"/>
        <w:ind w:right="101"/>
        <w:rPr>
          <w:rFonts w:eastAsia="Times New Roman"/>
          <w:i/>
          <w:spacing w:val="-2"/>
          <w:sz w:val="28"/>
          <w:szCs w:val="28"/>
          <w:u w:val="single"/>
        </w:rPr>
      </w:pPr>
      <w:r w:rsidRPr="00005BE7">
        <w:rPr>
          <w:rFonts w:eastAsia="Times New Roman"/>
          <w:i/>
          <w:spacing w:val="-2"/>
          <w:sz w:val="28"/>
          <w:szCs w:val="28"/>
          <w:u w:val="single"/>
        </w:rPr>
        <w:t xml:space="preserve">No </w:t>
      </w:r>
      <w:r w:rsidR="004B3E56" w:rsidRPr="00005BE7">
        <w:rPr>
          <w:rFonts w:eastAsia="Times New Roman"/>
          <w:i/>
          <w:spacing w:val="-2"/>
          <w:sz w:val="28"/>
          <w:szCs w:val="28"/>
          <w:u w:val="single"/>
        </w:rPr>
        <w:t>Preexisting Condition</w:t>
      </w:r>
      <w:r w:rsidRPr="00005BE7">
        <w:rPr>
          <w:rFonts w:eastAsia="Times New Roman"/>
          <w:i/>
          <w:spacing w:val="-2"/>
          <w:sz w:val="28"/>
          <w:szCs w:val="28"/>
          <w:u w:val="single"/>
        </w:rPr>
        <w:t xml:space="preserve"> Exclusions</w:t>
      </w:r>
    </w:p>
    <w:p w14:paraId="238AE4E4" w14:textId="49008EAA" w:rsidR="004B3E56" w:rsidRPr="00C37422" w:rsidRDefault="004B3E56" w:rsidP="006F4CC0">
      <w:pPr>
        <w:spacing w:before="120" w:after="0" w:line="240" w:lineRule="auto"/>
        <w:ind w:right="101"/>
        <w:rPr>
          <w:rFonts w:eastAsia="Times New Roman"/>
          <w:spacing w:val="-2"/>
        </w:rPr>
      </w:pPr>
      <w:r>
        <w:rPr>
          <w:rFonts w:eastAsia="Times New Roman"/>
          <w:spacing w:val="-2"/>
        </w:rPr>
        <w:t xml:space="preserve">Current federal </w:t>
      </w:r>
      <w:r w:rsidRPr="00C37422">
        <w:rPr>
          <w:rFonts w:eastAsia="Times New Roman"/>
          <w:spacing w:val="-2"/>
        </w:rPr>
        <w:t>requirements prohibit health insurance plans from denying coverage to individuals with pre-existing conditions like cancer.</w:t>
      </w:r>
      <w:r w:rsidR="00E13EB5" w:rsidRPr="00C37422">
        <w:rPr>
          <w:rStyle w:val="EndnoteReference"/>
          <w:rFonts w:eastAsia="Times New Roman"/>
          <w:spacing w:val="-2"/>
        </w:rPr>
        <w:endnoteReference w:id="11"/>
      </w:r>
      <w:r w:rsidR="00E13EB5" w:rsidRPr="00C37422">
        <w:rPr>
          <w:rFonts w:eastAsia="Times New Roman"/>
          <w:spacing w:val="-2"/>
        </w:rPr>
        <w:t xml:space="preserve"> </w:t>
      </w:r>
      <w:r w:rsidRPr="00C37422">
        <w:rPr>
          <w:rFonts w:eastAsia="Times New Roman"/>
          <w:spacing w:val="-2"/>
        </w:rPr>
        <w:t xml:space="preserve"> It is estimated that </w:t>
      </w:r>
      <w:r w:rsidR="00230119" w:rsidRPr="00C37422">
        <w:rPr>
          <w:rFonts w:eastAsia="Times New Roman"/>
          <w:spacing w:val="-2"/>
        </w:rPr>
        <w:t xml:space="preserve">in 2015, </w:t>
      </w:r>
      <w:r w:rsidR="00230119" w:rsidRPr="00C37422">
        <w:rPr>
          <w:rFonts w:eastAsia="Times New Roman"/>
          <w:b/>
          <w:spacing w:val="-2"/>
        </w:rPr>
        <w:t xml:space="preserve">1,919,000 Ohioans (28 percent) </w:t>
      </w:r>
      <w:r w:rsidR="00230119" w:rsidRPr="00C37422">
        <w:rPr>
          <w:rFonts w:eastAsia="Times New Roman"/>
          <w:spacing w:val="-2"/>
        </w:rPr>
        <w:t xml:space="preserve">had a preexisting condition that </w:t>
      </w:r>
      <w:r w:rsidR="001D7F79" w:rsidRPr="00C37422">
        <w:rPr>
          <w:rFonts w:eastAsia="Times New Roman"/>
          <w:spacing w:val="-2"/>
        </w:rPr>
        <w:t>ma</w:t>
      </w:r>
      <w:r w:rsidR="00E87B4A">
        <w:rPr>
          <w:rFonts w:eastAsia="Times New Roman"/>
          <w:spacing w:val="-2"/>
        </w:rPr>
        <w:t>d</w:t>
      </w:r>
      <w:r w:rsidR="001D7F79" w:rsidRPr="00C37422">
        <w:rPr>
          <w:rFonts w:eastAsia="Times New Roman"/>
          <w:spacing w:val="-2"/>
        </w:rPr>
        <w:t>e them unlikely to be able to obtain health insurance coverage in the individual market</w:t>
      </w:r>
      <w:r w:rsidR="00E87B4A">
        <w:rPr>
          <w:rFonts w:eastAsia="Times New Roman"/>
          <w:spacing w:val="-2"/>
        </w:rPr>
        <w:t xml:space="preserve"> without this protection</w:t>
      </w:r>
      <w:r w:rsidRPr="00C37422">
        <w:rPr>
          <w:rFonts w:eastAsia="Times New Roman"/>
          <w:spacing w:val="-2"/>
        </w:rPr>
        <w:t>.</w:t>
      </w:r>
      <w:r w:rsidR="00E13EB5" w:rsidRPr="00C37422">
        <w:rPr>
          <w:rStyle w:val="EndnoteReference"/>
          <w:rFonts w:eastAsia="Times New Roman"/>
          <w:spacing w:val="-2"/>
        </w:rPr>
        <w:endnoteReference w:id="12"/>
      </w:r>
      <w:r w:rsidR="00E13EB5" w:rsidRPr="00C37422">
        <w:rPr>
          <w:rFonts w:eastAsia="Times New Roman"/>
          <w:spacing w:val="-2"/>
        </w:rPr>
        <w:t xml:space="preserve"> </w:t>
      </w:r>
      <w:r w:rsidRPr="00C37422">
        <w:rPr>
          <w:rFonts w:eastAsia="Times New Roman"/>
          <w:spacing w:val="-2"/>
        </w:rPr>
        <w:t xml:space="preserve"> </w:t>
      </w:r>
    </w:p>
    <w:p w14:paraId="227BB3CE" w14:textId="77777777" w:rsidR="004B3E56" w:rsidRPr="00005BE7" w:rsidRDefault="00223BA4" w:rsidP="00005BE7">
      <w:pPr>
        <w:keepNext/>
        <w:keepLines/>
        <w:spacing w:before="120" w:after="0" w:line="240" w:lineRule="auto"/>
        <w:ind w:right="101"/>
        <w:rPr>
          <w:rFonts w:eastAsia="Times New Roman"/>
          <w:i/>
          <w:spacing w:val="-2"/>
          <w:sz w:val="28"/>
          <w:szCs w:val="28"/>
          <w:u w:val="single"/>
        </w:rPr>
      </w:pPr>
      <w:r w:rsidRPr="00C37422">
        <w:rPr>
          <w:rFonts w:eastAsia="Times New Roman"/>
          <w:i/>
          <w:spacing w:val="-2"/>
          <w:sz w:val="28"/>
          <w:szCs w:val="28"/>
          <w:u w:val="single"/>
        </w:rPr>
        <w:t xml:space="preserve">Expanded </w:t>
      </w:r>
      <w:r w:rsidR="004B3E56" w:rsidRPr="00C37422">
        <w:rPr>
          <w:rFonts w:eastAsia="Times New Roman"/>
          <w:i/>
          <w:spacing w:val="-2"/>
          <w:sz w:val="28"/>
          <w:szCs w:val="28"/>
          <w:u w:val="single"/>
        </w:rPr>
        <w:t>Medicaid</w:t>
      </w:r>
      <w:r w:rsidRPr="00C37422">
        <w:rPr>
          <w:rFonts w:eastAsia="Times New Roman"/>
          <w:i/>
          <w:spacing w:val="-2"/>
          <w:sz w:val="28"/>
          <w:szCs w:val="28"/>
          <w:u w:val="single"/>
        </w:rPr>
        <w:t xml:space="preserve"> Eligibility</w:t>
      </w:r>
    </w:p>
    <w:p w14:paraId="7EADA96B" w14:textId="50C30B50" w:rsidR="00AB2A50" w:rsidRDefault="004B3E56" w:rsidP="00005BE7">
      <w:pPr>
        <w:keepNext/>
        <w:keepLines/>
        <w:spacing w:before="120" w:after="0" w:line="240" w:lineRule="auto"/>
        <w:ind w:right="101"/>
        <w:rPr>
          <w:rFonts w:asciiTheme="minorHAnsi" w:eastAsia="Times New Roman" w:hAnsiTheme="minorHAnsi"/>
          <w:spacing w:val="4"/>
        </w:rPr>
      </w:pPr>
      <w:r w:rsidRPr="004B3E56">
        <w:rPr>
          <w:rFonts w:asciiTheme="minorHAnsi" w:eastAsia="Times New Roman" w:hAnsiTheme="minorHAnsi"/>
          <w:spacing w:val="4"/>
        </w:rPr>
        <w:t>T</w:t>
      </w:r>
      <w:r w:rsidRPr="004B3E56">
        <w:rPr>
          <w:rFonts w:asciiTheme="minorHAnsi" w:eastAsia="Times New Roman" w:hAnsiTheme="minorHAnsi"/>
          <w:spacing w:val="-5"/>
        </w:rPr>
        <w:t>h</w:t>
      </w:r>
      <w:r w:rsidRPr="004B3E56">
        <w:rPr>
          <w:rFonts w:asciiTheme="minorHAnsi" w:eastAsia="Times New Roman" w:hAnsiTheme="minorHAnsi"/>
        </w:rPr>
        <w:t>e</w:t>
      </w:r>
      <w:r w:rsidRPr="004B3E56">
        <w:rPr>
          <w:rFonts w:asciiTheme="minorHAnsi" w:eastAsia="Times New Roman" w:hAnsiTheme="minorHAnsi"/>
          <w:spacing w:val="1"/>
        </w:rPr>
        <w:t xml:space="preserve"> </w:t>
      </w:r>
      <w:r w:rsidR="0034761F">
        <w:rPr>
          <w:rFonts w:asciiTheme="minorHAnsi" w:eastAsia="Times New Roman" w:hAnsiTheme="minorHAnsi"/>
          <w:spacing w:val="1"/>
        </w:rPr>
        <w:t xml:space="preserve">health care law </w:t>
      </w:r>
      <w:r w:rsidRPr="004B3E56">
        <w:rPr>
          <w:rFonts w:asciiTheme="minorHAnsi" w:eastAsia="Times New Roman" w:hAnsiTheme="minorHAnsi"/>
          <w:spacing w:val="4"/>
        </w:rPr>
        <w:t xml:space="preserve">expanded Medicaid eligibility </w:t>
      </w:r>
      <w:r w:rsidRPr="004B3E56">
        <w:rPr>
          <w:rFonts w:asciiTheme="minorHAnsi" w:eastAsia="Times New Roman" w:hAnsiTheme="minorHAnsi"/>
        </w:rPr>
        <w:t>to</w:t>
      </w:r>
      <w:r w:rsidRPr="004B3E56">
        <w:rPr>
          <w:rFonts w:asciiTheme="minorHAnsi" w:eastAsia="Times New Roman" w:hAnsiTheme="minorHAnsi"/>
          <w:spacing w:val="3"/>
        </w:rPr>
        <w:t xml:space="preserve"> a</w:t>
      </w:r>
      <w:r w:rsidRPr="004B3E56">
        <w:rPr>
          <w:rFonts w:asciiTheme="minorHAnsi" w:eastAsia="Times New Roman" w:hAnsiTheme="minorHAnsi"/>
          <w:spacing w:val="-4"/>
        </w:rPr>
        <w:t>l</w:t>
      </w:r>
      <w:r w:rsidRPr="004B3E56">
        <w:rPr>
          <w:rFonts w:asciiTheme="minorHAnsi" w:eastAsia="Times New Roman" w:hAnsiTheme="minorHAnsi"/>
        </w:rPr>
        <w:t>l</w:t>
      </w:r>
      <w:r w:rsidRPr="004B3E56">
        <w:rPr>
          <w:rFonts w:asciiTheme="minorHAnsi" w:eastAsia="Times New Roman" w:hAnsiTheme="minorHAnsi"/>
          <w:spacing w:val="-1"/>
        </w:rPr>
        <w:t xml:space="preserve"> </w:t>
      </w:r>
      <w:r w:rsidRPr="004B3E56">
        <w:rPr>
          <w:rFonts w:asciiTheme="minorHAnsi" w:eastAsia="Times New Roman" w:hAnsiTheme="minorHAnsi"/>
        </w:rPr>
        <w:t>p</w:t>
      </w:r>
      <w:r w:rsidRPr="004B3E56">
        <w:rPr>
          <w:rFonts w:asciiTheme="minorHAnsi" w:eastAsia="Times New Roman" w:hAnsiTheme="minorHAnsi"/>
          <w:spacing w:val="-2"/>
        </w:rPr>
        <w:t>e</w:t>
      </w:r>
      <w:r w:rsidRPr="004B3E56">
        <w:rPr>
          <w:rFonts w:asciiTheme="minorHAnsi" w:eastAsia="Times New Roman" w:hAnsiTheme="minorHAnsi"/>
          <w:spacing w:val="-5"/>
        </w:rPr>
        <w:t>o</w:t>
      </w:r>
      <w:r w:rsidRPr="004B3E56">
        <w:rPr>
          <w:rFonts w:asciiTheme="minorHAnsi" w:eastAsia="Times New Roman" w:hAnsiTheme="minorHAnsi"/>
          <w:spacing w:val="5"/>
        </w:rPr>
        <w:t>p</w:t>
      </w:r>
      <w:r w:rsidRPr="004B3E56">
        <w:rPr>
          <w:rFonts w:asciiTheme="minorHAnsi" w:eastAsia="Times New Roman" w:hAnsiTheme="minorHAnsi"/>
        </w:rPr>
        <w:t>le</w:t>
      </w:r>
      <w:r w:rsidRPr="004B3E56">
        <w:rPr>
          <w:rFonts w:asciiTheme="minorHAnsi" w:eastAsia="Times New Roman" w:hAnsiTheme="minorHAnsi"/>
          <w:spacing w:val="-3"/>
        </w:rPr>
        <w:t xml:space="preserve"> </w:t>
      </w:r>
      <w:r w:rsidRPr="004B3E56">
        <w:rPr>
          <w:rFonts w:asciiTheme="minorHAnsi" w:eastAsia="Times New Roman" w:hAnsiTheme="minorHAnsi"/>
          <w:spacing w:val="5"/>
        </w:rPr>
        <w:t>up to</w:t>
      </w:r>
      <w:r w:rsidRPr="004B3E56">
        <w:rPr>
          <w:rFonts w:asciiTheme="minorHAnsi" w:eastAsia="Times New Roman" w:hAnsiTheme="minorHAnsi"/>
          <w:spacing w:val="6"/>
        </w:rPr>
        <w:t xml:space="preserve"> </w:t>
      </w:r>
      <w:r w:rsidRPr="004B3E56">
        <w:rPr>
          <w:rFonts w:asciiTheme="minorHAnsi" w:eastAsia="Times New Roman" w:hAnsiTheme="minorHAnsi"/>
        </w:rPr>
        <w:t xml:space="preserve">138 percent </w:t>
      </w:r>
      <w:r w:rsidRPr="004B3E56">
        <w:rPr>
          <w:rFonts w:asciiTheme="minorHAnsi" w:eastAsia="Times New Roman" w:hAnsiTheme="minorHAnsi"/>
          <w:spacing w:val="-5"/>
        </w:rPr>
        <w:t>o</w:t>
      </w:r>
      <w:r w:rsidRPr="004B3E56">
        <w:rPr>
          <w:rFonts w:asciiTheme="minorHAnsi" w:eastAsia="Times New Roman" w:hAnsiTheme="minorHAnsi"/>
        </w:rPr>
        <w:t>f</w:t>
      </w:r>
      <w:r w:rsidRPr="004B3E56">
        <w:rPr>
          <w:rFonts w:asciiTheme="minorHAnsi" w:eastAsia="Times New Roman" w:hAnsiTheme="minorHAnsi"/>
          <w:spacing w:val="1"/>
        </w:rPr>
        <w:t xml:space="preserve"> </w:t>
      </w:r>
      <w:r w:rsidRPr="004B3E56">
        <w:rPr>
          <w:rFonts w:asciiTheme="minorHAnsi" w:eastAsia="Times New Roman" w:hAnsiTheme="minorHAnsi"/>
        </w:rPr>
        <w:t>the</w:t>
      </w:r>
      <w:r w:rsidRPr="004B3E56">
        <w:rPr>
          <w:rFonts w:asciiTheme="minorHAnsi" w:eastAsia="Times New Roman" w:hAnsiTheme="minorHAnsi"/>
          <w:spacing w:val="-3"/>
        </w:rPr>
        <w:t xml:space="preserve"> </w:t>
      </w:r>
      <w:r w:rsidRPr="004B3E56">
        <w:rPr>
          <w:rFonts w:asciiTheme="minorHAnsi" w:eastAsia="Times New Roman" w:hAnsiTheme="minorHAnsi"/>
          <w:spacing w:val="3"/>
        </w:rPr>
        <w:t>f</w:t>
      </w:r>
      <w:r w:rsidRPr="004B3E56">
        <w:rPr>
          <w:rFonts w:asciiTheme="minorHAnsi" w:eastAsia="Times New Roman" w:hAnsiTheme="minorHAnsi"/>
          <w:spacing w:val="-2"/>
        </w:rPr>
        <w:t>e</w:t>
      </w:r>
      <w:r w:rsidRPr="004B3E56">
        <w:rPr>
          <w:rFonts w:asciiTheme="minorHAnsi" w:eastAsia="Times New Roman" w:hAnsiTheme="minorHAnsi"/>
        </w:rPr>
        <w:t>d</w:t>
      </w:r>
      <w:r w:rsidRPr="004B3E56">
        <w:rPr>
          <w:rFonts w:asciiTheme="minorHAnsi" w:eastAsia="Times New Roman" w:hAnsiTheme="minorHAnsi"/>
          <w:spacing w:val="-7"/>
        </w:rPr>
        <w:t>e</w:t>
      </w:r>
      <w:r w:rsidRPr="004B3E56">
        <w:rPr>
          <w:rFonts w:asciiTheme="minorHAnsi" w:eastAsia="Times New Roman" w:hAnsiTheme="minorHAnsi"/>
          <w:spacing w:val="3"/>
        </w:rPr>
        <w:t>ra</w:t>
      </w:r>
      <w:r w:rsidRPr="004B3E56">
        <w:rPr>
          <w:rFonts w:asciiTheme="minorHAnsi" w:eastAsia="Times New Roman" w:hAnsiTheme="minorHAnsi"/>
        </w:rPr>
        <w:t>l</w:t>
      </w:r>
      <w:r w:rsidRPr="004B3E56">
        <w:rPr>
          <w:rFonts w:asciiTheme="minorHAnsi" w:eastAsia="Times New Roman" w:hAnsiTheme="minorHAnsi"/>
          <w:spacing w:val="-1"/>
        </w:rPr>
        <w:t xml:space="preserve"> </w:t>
      </w:r>
      <w:r w:rsidRPr="004B3E56">
        <w:rPr>
          <w:rFonts w:asciiTheme="minorHAnsi" w:eastAsia="Times New Roman" w:hAnsiTheme="minorHAnsi"/>
          <w:spacing w:val="5"/>
        </w:rPr>
        <w:t>p</w:t>
      </w:r>
      <w:r w:rsidRPr="004B3E56">
        <w:rPr>
          <w:rFonts w:asciiTheme="minorHAnsi" w:eastAsia="Times New Roman" w:hAnsiTheme="minorHAnsi"/>
          <w:spacing w:val="-5"/>
        </w:rPr>
        <w:t>o</w:t>
      </w:r>
      <w:r w:rsidRPr="004B3E56">
        <w:rPr>
          <w:rFonts w:asciiTheme="minorHAnsi" w:eastAsia="Times New Roman" w:hAnsiTheme="minorHAnsi"/>
        </w:rPr>
        <w:t>v</w:t>
      </w:r>
      <w:r w:rsidRPr="004B3E56">
        <w:rPr>
          <w:rFonts w:asciiTheme="minorHAnsi" w:eastAsia="Times New Roman" w:hAnsiTheme="minorHAnsi"/>
          <w:spacing w:val="-7"/>
        </w:rPr>
        <w:t>e</w:t>
      </w:r>
      <w:r w:rsidRPr="004B3E56">
        <w:rPr>
          <w:rFonts w:asciiTheme="minorHAnsi" w:eastAsia="Times New Roman" w:hAnsiTheme="minorHAnsi"/>
          <w:spacing w:val="3"/>
        </w:rPr>
        <w:t>r</w:t>
      </w:r>
      <w:r w:rsidRPr="004B3E56">
        <w:rPr>
          <w:rFonts w:asciiTheme="minorHAnsi" w:eastAsia="Times New Roman" w:hAnsiTheme="minorHAnsi"/>
          <w:spacing w:val="6"/>
        </w:rPr>
        <w:t>t</w:t>
      </w:r>
      <w:r w:rsidRPr="004B3E56">
        <w:rPr>
          <w:rFonts w:asciiTheme="minorHAnsi" w:eastAsia="Times New Roman" w:hAnsiTheme="minorHAnsi"/>
        </w:rPr>
        <w:t>y</w:t>
      </w:r>
      <w:r w:rsidRPr="004B3E56">
        <w:rPr>
          <w:rFonts w:asciiTheme="minorHAnsi" w:eastAsia="Times New Roman" w:hAnsiTheme="minorHAnsi"/>
          <w:spacing w:val="-2"/>
        </w:rPr>
        <w:t xml:space="preserve"> </w:t>
      </w:r>
      <w:r w:rsidRPr="004B3E56">
        <w:rPr>
          <w:rFonts w:asciiTheme="minorHAnsi" w:eastAsia="Times New Roman" w:hAnsiTheme="minorHAnsi"/>
        </w:rPr>
        <w:t>l</w:t>
      </w:r>
      <w:r w:rsidRPr="004B3E56">
        <w:rPr>
          <w:rFonts w:asciiTheme="minorHAnsi" w:eastAsia="Times New Roman" w:hAnsiTheme="minorHAnsi"/>
          <w:spacing w:val="-1"/>
        </w:rPr>
        <w:t>e</w:t>
      </w:r>
      <w:r w:rsidRPr="004B3E56">
        <w:rPr>
          <w:rFonts w:asciiTheme="minorHAnsi" w:eastAsia="Times New Roman" w:hAnsiTheme="minorHAnsi"/>
        </w:rPr>
        <w:t>v</w:t>
      </w:r>
      <w:r w:rsidRPr="004B3E56">
        <w:rPr>
          <w:rFonts w:asciiTheme="minorHAnsi" w:eastAsia="Times New Roman" w:hAnsiTheme="minorHAnsi"/>
          <w:spacing w:val="-2"/>
        </w:rPr>
        <w:t>e</w:t>
      </w:r>
      <w:r w:rsidRPr="004B3E56">
        <w:rPr>
          <w:rFonts w:asciiTheme="minorHAnsi" w:eastAsia="Times New Roman" w:hAnsiTheme="minorHAnsi"/>
        </w:rPr>
        <w:t>l</w:t>
      </w:r>
      <w:r w:rsidRPr="004B3E56">
        <w:rPr>
          <w:rFonts w:asciiTheme="minorHAnsi" w:eastAsia="Times New Roman" w:hAnsiTheme="minorHAnsi"/>
          <w:spacing w:val="-1"/>
        </w:rPr>
        <w:t xml:space="preserve"> (</w:t>
      </w:r>
      <w:r w:rsidRPr="004B3E56">
        <w:rPr>
          <w:rFonts w:asciiTheme="minorHAnsi" w:eastAsia="Times New Roman" w:hAnsiTheme="minorHAnsi"/>
          <w:spacing w:val="3"/>
        </w:rPr>
        <w:t>a</w:t>
      </w:r>
      <w:r w:rsidRPr="004B3E56">
        <w:rPr>
          <w:rFonts w:asciiTheme="minorHAnsi" w:eastAsia="Times New Roman" w:hAnsiTheme="minorHAnsi"/>
        </w:rPr>
        <w:t>b</w:t>
      </w:r>
      <w:r w:rsidRPr="004B3E56">
        <w:rPr>
          <w:rFonts w:asciiTheme="minorHAnsi" w:eastAsia="Times New Roman" w:hAnsiTheme="minorHAnsi"/>
          <w:spacing w:val="-5"/>
        </w:rPr>
        <w:t>o</w:t>
      </w:r>
      <w:r w:rsidRPr="004B3E56">
        <w:rPr>
          <w:rFonts w:asciiTheme="minorHAnsi" w:eastAsia="Times New Roman" w:hAnsiTheme="minorHAnsi"/>
        </w:rPr>
        <w:t>ut</w:t>
      </w:r>
      <w:r w:rsidRPr="004B3E56">
        <w:rPr>
          <w:rFonts w:asciiTheme="minorHAnsi" w:eastAsia="Times New Roman" w:hAnsiTheme="minorHAnsi"/>
          <w:spacing w:val="4"/>
        </w:rPr>
        <w:t xml:space="preserve"> </w:t>
      </w:r>
      <w:r w:rsidRPr="004B3E56">
        <w:rPr>
          <w:rFonts w:asciiTheme="minorHAnsi" w:eastAsia="Times New Roman" w:hAnsiTheme="minorHAnsi"/>
        </w:rPr>
        <w:t>$16,394/year</w:t>
      </w:r>
      <w:r w:rsidRPr="004B3E56">
        <w:rPr>
          <w:rFonts w:asciiTheme="minorHAnsi" w:eastAsia="Times New Roman" w:hAnsiTheme="minorHAnsi"/>
          <w:spacing w:val="3"/>
        </w:rPr>
        <w:t xml:space="preserve"> </w:t>
      </w:r>
      <w:r w:rsidRPr="004B3E56">
        <w:rPr>
          <w:rFonts w:asciiTheme="minorHAnsi" w:eastAsia="Times New Roman" w:hAnsiTheme="minorHAnsi"/>
          <w:spacing w:val="-1"/>
        </w:rPr>
        <w:t>f</w:t>
      </w:r>
      <w:r w:rsidRPr="004B3E56">
        <w:rPr>
          <w:rFonts w:asciiTheme="minorHAnsi" w:eastAsia="Times New Roman" w:hAnsiTheme="minorHAnsi"/>
          <w:spacing w:val="-5"/>
        </w:rPr>
        <w:t>o</w:t>
      </w:r>
      <w:r w:rsidRPr="004B3E56">
        <w:rPr>
          <w:rFonts w:asciiTheme="minorHAnsi" w:eastAsia="Times New Roman" w:hAnsiTheme="minorHAnsi"/>
        </w:rPr>
        <w:t>r</w:t>
      </w:r>
      <w:r w:rsidRPr="004B3E56">
        <w:rPr>
          <w:rFonts w:asciiTheme="minorHAnsi" w:eastAsia="Times New Roman" w:hAnsiTheme="minorHAnsi"/>
          <w:spacing w:val="1"/>
        </w:rPr>
        <w:t xml:space="preserve"> </w:t>
      </w:r>
      <w:r w:rsidRPr="004B3E56">
        <w:rPr>
          <w:rFonts w:asciiTheme="minorHAnsi" w:eastAsia="Times New Roman" w:hAnsiTheme="minorHAnsi"/>
        </w:rPr>
        <w:t>a</w:t>
      </w:r>
      <w:r w:rsidRPr="004B3E56">
        <w:rPr>
          <w:rFonts w:asciiTheme="minorHAnsi" w:eastAsia="Times New Roman" w:hAnsiTheme="minorHAnsi"/>
          <w:spacing w:val="1"/>
        </w:rPr>
        <w:t xml:space="preserve"> </w:t>
      </w:r>
      <w:r w:rsidRPr="004B3E56">
        <w:rPr>
          <w:rFonts w:asciiTheme="minorHAnsi" w:eastAsia="Times New Roman" w:hAnsiTheme="minorHAnsi"/>
        </w:rPr>
        <w:t>s</w:t>
      </w:r>
      <w:r w:rsidRPr="004B3E56">
        <w:rPr>
          <w:rFonts w:asciiTheme="minorHAnsi" w:eastAsia="Times New Roman" w:hAnsiTheme="minorHAnsi"/>
          <w:spacing w:val="-3"/>
        </w:rPr>
        <w:t>i</w:t>
      </w:r>
      <w:r w:rsidRPr="004B3E56">
        <w:rPr>
          <w:rFonts w:asciiTheme="minorHAnsi" w:eastAsia="Times New Roman" w:hAnsiTheme="minorHAnsi"/>
        </w:rPr>
        <w:t>n</w:t>
      </w:r>
      <w:r w:rsidRPr="004B3E56">
        <w:rPr>
          <w:rFonts w:asciiTheme="minorHAnsi" w:eastAsia="Times New Roman" w:hAnsiTheme="minorHAnsi"/>
          <w:spacing w:val="-5"/>
        </w:rPr>
        <w:t>g</w:t>
      </w:r>
      <w:r w:rsidRPr="004B3E56">
        <w:rPr>
          <w:rFonts w:asciiTheme="minorHAnsi" w:eastAsia="Times New Roman" w:hAnsiTheme="minorHAnsi"/>
          <w:spacing w:val="1"/>
        </w:rPr>
        <w:t>l</w:t>
      </w:r>
      <w:r w:rsidRPr="004B3E56">
        <w:rPr>
          <w:rFonts w:asciiTheme="minorHAnsi" w:eastAsia="Times New Roman" w:hAnsiTheme="minorHAnsi"/>
        </w:rPr>
        <w:t xml:space="preserve">e </w:t>
      </w:r>
      <w:r w:rsidRPr="004B3E56">
        <w:rPr>
          <w:rFonts w:asciiTheme="minorHAnsi" w:eastAsia="Times New Roman" w:hAnsiTheme="minorHAnsi"/>
          <w:spacing w:val="3"/>
        </w:rPr>
        <w:t>a</w:t>
      </w:r>
      <w:r w:rsidRPr="004B3E56">
        <w:rPr>
          <w:rFonts w:asciiTheme="minorHAnsi" w:eastAsia="Times New Roman" w:hAnsiTheme="minorHAnsi"/>
          <w:spacing w:val="-5"/>
        </w:rPr>
        <w:t>d</w:t>
      </w:r>
      <w:r w:rsidRPr="004B3E56">
        <w:rPr>
          <w:rFonts w:asciiTheme="minorHAnsi" w:eastAsia="Times New Roman" w:hAnsiTheme="minorHAnsi"/>
        </w:rPr>
        <w:t>u</w:t>
      </w:r>
      <w:r w:rsidRPr="004B3E56">
        <w:rPr>
          <w:rFonts w:asciiTheme="minorHAnsi" w:eastAsia="Times New Roman" w:hAnsiTheme="minorHAnsi"/>
          <w:spacing w:val="-4"/>
        </w:rPr>
        <w:t>l</w:t>
      </w:r>
      <w:r w:rsidRPr="004B3E56">
        <w:rPr>
          <w:rFonts w:asciiTheme="minorHAnsi" w:eastAsia="Times New Roman" w:hAnsiTheme="minorHAnsi"/>
          <w:spacing w:val="1"/>
        </w:rPr>
        <w:t>t and $27,821 for a family of three in 2016</w:t>
      </w:r>
      <w:r w:rsidRPr="004B3E56">
        <w:rPr>
          <w:rFonts w:asciiTheme="minorHAnsi" w:eastAsia="Times New Roman" w:hAnsiTheme="minorHAnsi"/>
        </w:rPr>
        <w:t>).</w:t>
      </w:r>
      <w:r w:rsidR="00E13EB5">
        <w:rPr>
          <w:rStyle w:val="EndnoteReference"/>
          <w:rFonts w:asciiTheme="minorHAnsi" w:eastAsia="Times New Roman" w:hAnsiTheme="minorHAnsi"/>
        </w:rPr>
        <w:endnoteReference w:id="13"/>
      </w:r>
      <w:r w:rsidR="00E13EB5">
        <w:rPr>
          <w:rFonts w:asciiTheme="minorHAnsi" w:eastAsia="Times New Roman" w:hAnsiTheme="minorHAnsi"/>
        </w:rPr>
        <w:t xml:space="preserve"> </w:t>
      </w:r>
      <w:r w:rsidRPr="004B3E56">
        <w:rPr>
          <w:rFonts w:asciiTheme="minorHAnsi" w:eastAsia="Times New Roman" w:hAnsiTheme="minorHAnsi"/>
          <w:spacing w:val="3"/>
        </w:rPr>
        <w:t xml:space="preserve"> </w:t>
      </w:r>
      <w:r w:rsidRPr="004B3E56">
        <w:rPr>
          <w:rFonts w:asciiTheme="minorHAnsi" w:eastAsia="Times New Roman" w:hAnsiTheme="minorHAnsi"/>
        </w:rPr>
        <w:t xml:space="preserve">However, </w:t>
      </w:r>
      <w:r w:rsidRPr="004B3E56">
        <w:rPr>
          <w:rFonts w:asciiTheme="minorHAnsi" w:eastAsia="Times New Roman" w:hAnsiTheme="minorHAnsi"/>
          <w:spacing w:val="4"/>
        </w:rPr>
        <w:t xml:space="preserve">in 2012, the U.S. Supreme Court </w:t>
      </w:r>
      <w:r w:rsidR="0034761F">
        <w:rPr>
          <w:rFonts w:asciiTheme="minorHAnsi" w:eastAsia="Times New Roman" w:hAnsiTheme="minorHAnsi"/>
          <w:spacing w:val="4"/>
        </w:rPr>
        <w:t>left it up to st</w:t>
      </w:r>
      <w:r w:rsidR="00712E7B">
        <w:rPr>
          <w:rFonts w:asciiTheme="minorHAnsi" w:eastAsia="Times New Roman" w:hAnsiTheme="minorHAnsi"/>
          <w:spacing w:val="4"/>
        </w:rPr>
        <w:t>ates to decide whether or</w:t>
      </w:r>
      <w:r w:rsidR="0034761F">
        <w:rPr>
          <w:rFonts w:asciiTheme="minorHAnsi" w:eastAsia="Times New Roman" w:hAnsiTheme="minorHAnsi"/>
          <w:spacing w:val="4"/>
        </w:rPr>
        <w:t xml:space="preserve"> </w:t>
      </w:r>
      <w:r w:rsidRPr="004B3E56">
        <w:rPr>
          <w:rFonts w:asciiTheme="minorHAnsi" w:eastAsia="Times New Roman" w:hAnsiTheme="minorHAnsi"/>
          <w:spacing w:val="4"/>
        </w:rPr>
        <w:t>implement th</w:t>
      </w:r>
      <w:r w:rsidR="0034761F">
        <w:rPr>
          <w:rFonts w:asciiTheme="minorHAnsi" w:eastAsia="Times New Roman" w:hAnsiTheme="minorHAnsi"/>
          <w:spacing w:val="4"/>
        </w:rPr>
        <w:t>e</w:t>
      </w:r>
      <w:r w:rsidRPr="004B3E56">
        <w:rPr>
          <w:rFonts w:asciiTheme="minorHAnsi" w:eastAsia="Times New Roman" w:hAnsiTheme="minorHAnsi"/>
          <w:spacing w:val="4"/>
        </w:rPr>
        <w:t xml:space="preserve"> Medicaid eligibility expansion.</w:t>
      </w:r>
      <w:r>
        <w:rPr>
          <w:rFonts w:asciiTheme="minorHAnsi" w:eastAsia="Times New Roman" w:hAnsiTheme="minorHAnsi"/>
          <w:spacing w:val="4"/>
        </w:rPr>
        <w:t xml:space="preserve">  Ohio chose to expand its Medicaid program resulting in an additional </w:t>
      </w:r>
      <w:r w:rsidRPr="00765B96">
        <w:rPr>
          <w:rFonts w:asciiTheme="minorHAnsi" w:eastAsia="Times New Roman" w:hAnsiTheme="minorHAnsi"/>
          <w:b/>
          <w:spacing w:val="4"/>
        </w:rPr>
        <w:t xml:space="preserve">381,000 </w:t>
      </w:r>
      <w:r w:rsidR="00765B96">
        <w:rPr>
          <w:rFonts w:asciiTheme="minorHAnsi" w:eastAsia="Times New Roman" w:hAnsiTheme="minorHAnsi"/>
          <w:b/>
          <w:spacing w:val="4"/>
        </w:rPr>
        <w:t xml:space="preserve">Ohioans </w:t>
      </w:r>
      <w:r>
        <w:rPr>
          <w:rFonts w:asciiTheme="minorHAnsi" w:eastAsia="Times New Roman" w:hAnsiTheme="minorHAnsi"/>
          <w:spacing w:val="4"/>
        </w:rPr>
        <w:t>covered</w:t>
      </w:r>
      <w:r w:rsidR="00005BE7">
        <w:rPr>
          <w:rFonts w:asciiTheme="minorHAnsi" w:eastAsia="Times New Roman" w:hAnsiTheme="minorHAnsi"/>
          <w:spacing w:val="4"/>
        </w:rPr>
        <w:t> </w:t>
      </w:r>
      <w:r w:rsidR="0072719A">
        <w:rPr>
          <w:rFonts w:asciiTheme="minorHAnsi" w:eastAsia="Times New Roman" w:hAnsiTheme="minorHAnsi"/>
          <w:spacing w:val="4"/>
        </w:rPr>
        <w:t xml:space="preserve">– </w:t>
      </w:r>
      <w:r w:rsidR="00E87B4A">
        <w:rPr>
          <w:rFonts w:asciiTheme="minorHAnsi" w:eastAsia="Times New Roman" w:hAnsiTheme="minorHAnsi"/>
          <w:spacing w:val="4"/>
        </w:rPr>
        <w:t>some</w:t>
      </w:r>
      <w:r w:rsidR="0072719A">
        <w:rPr>
          <w:rFonts w:asciiTheme="minorHAnsi" w:eastAsia="Times New Roman" w:hAnsiTheme="minorHAnsi"/>
          <w:spacing w:val="4"/>
        </w:rPr>
        <w:t xml:space="preserve"> of whom are cancer patients or survivors</w:t>
      </w:r>
      <w:r>
        <w:rPr>
          <w:rFonts w:asciiTheme="minorHAnsi" w:eastAsia="Times New Roman" w:hAnsiTheme="minorHAnsi"/>
          <w:spacing w:val="4"/>
        </w:rPr>
        <w:t xml:space="preserve">.  </w:t>
      </w:r>
    </w:p>
    <w:p w14:paraId="2F9CD15A" w14:textId="6E7C66D4" w:rsidR="007700A7" w:rsidRDefault="00BE62D2" w:rsidP="007700A7">
      <w:pPr>
        <w:spacing w:before="120" w:after="0" w:line="240" w:lineRule="auto"/>
        <w:ind w:right="101"/>
        <w:rPr>
          <w:rFonts w:eastAsia="Times New Roman"/>
          <w:i/>
          <w:spacing w:val="2"/>
          <w:sz w:val="28"/>
          <w:szCs w:val="28"/>
          <w:u w:val="single"/>
        </w:rPr>
      </w:pPr>
      <w:r w:rsidRPr="00005BE7">
        <w:rPr>
          <w:rFonts w:eastAsia="Times New Roman"/>
          <w:i/>
          <w:spacing w:val="2"/>
          <w:sz w:val="28"/>
          <w:szCs w:val="28"/>
          <w:u w:val="single"/>
        </w:rPr>
        <w:t>Patient Story</w:t>
      </w:r>
    </w:p>
    <w:p w14:paraId="24BE22AD" w14:textId="77777777" w:rsidR="007700A7" w:rsidRDefault="007700A7" w:rsidP="007700A7">
      <w:pPr>
        <w:spacing w:before="120" w:after="0" w:line="240" w:lineRule="auto"/>
        <w:ind w:right="101"/>
        <w:rPr>
          <w:rFonts w:eastAsia="Times New Roman"/>
          <w:spacing w:val="2"/>
          <w:szCs w:val="28"/>
        </w:rPr>
      </w:pPr>
      <w:r w:rsidRPr="007700A7">
        <w:rPr>
          <w:rFonts w:eastAsia="Times New Roman"/>
          <w:spacing w:val="2"/>
          <w:szCs w:val="28"/>
        </w:rPr>
        <w:t xml:space="preserve">In October 2015, Laurie Merges lost her job due to a corporate downsize. At the time, she was the sole provider for her three young children. Laurie has a son on the autism spectrum who needs treatment, so she quickly signed up for Medicaid coverage for her children. She was told at the time that she was also eligible to receive coverage, because Ohio had expanded access to Medicaid for adults up to 138 percent of the Federal Poverty Level as part of the Affordable Healthcare Act (ACA). </w:t>
      </w:r>
    </w:p>
    <w:p w14:paraId="5F92055E" w14:textId="007F0A63" w:rsidR="007700A7" w:rsidRPr="007700A7" w:rsidRDefault="007700A7" w:rsidP="007700A7">
      <w:pPr>
        <w:spacing w:after="0" w:line="240" w:lineRule="auto"/>
        <w:ind w:right="101"/>
        <w:rPr>
          <w:rFonts w:eastAsia="Times New Roman"/>
          <w:spacing w:val="2"/>
          <w:szCs w:val="28"/>
        </w:rPr>
      </w:pPr>
      <w:r w:rsidRPr="007700A7">
        <w:rPr>
          <w:rFonts w:eastAsia="Times New Roman"/>
          <w:spacing w:val="2"/>
          <w:szCs w:val="28"/>
        </w:rPr>
        <w:br/>
        <w:t xml:space="preserve">Two months after she lost her job, she noticed a hardening in her left breast. She was diagnosed with Stage </w:t>
      </w:r>
      <w:proofErr w:type="spellStart"/>
      <w:r w:rsidRPr="007700A7">
        <w:rPr>
          <w:rFonts w:eastAsia="Times New Roman"/>
          <w:spacing w:val="2"/>
          <w:szCs w:val="28"/>
        </w:rPr>
        <w:t>3b</w:t>
      </w:r>
      <w:proofErr w:type="spellEnd"/>
      <w:r w:rsidRPr="007700A7">
        <w:rPr>
          <w:rFonts w:eastAsia="Times New Roman"/>
          <w:spacing w:val="2"/>
          <w:szCs w:val="28"/>
        </w:rPr>
        <w:t xml:space="preserve"> brea</w:t>
      </w:r>
      <w:bookmarkStart w:id="0" w:name="_GoBack"/>
      <w:bookmarkEnd w:id="0"/>
      <w:r w:rsidRPr="007700A7">
        <w:rPr>
          <w:rFonts w:eastAsia="Times New Roman"/>
          <w:spacing w:val="2"/>
          <w:szCs w:val="28"/>
        </w:rPr>
        <w:t xml:space="preserve">st cancer and was told that she would need treatment for at least 18 months. Her doctors urged her to suspend her job search until she was healthy again. She had 16 rounds of chemotherapy, a bilateral mastectomy, 33 rounds of radiation and three additional hospitalizations for infections. She currently is taking oral chemotherapy. </w:t>
      </w:r>
      <w:r w:rsidRPr="007700A7">
        <w:rPr>
          <w:rFonts w:eastAsia="Times New Roman"/>
          <w:spacing w:val="2"/>
          <w:szCs w:val="28"/>
        </w:rPr>
        <w:br/>
      </w:r>
      <w:r w:rsidRPr="007700A7">
        <w:rPr>
          <w:rFonts w:eastAsia="Times New Roman"/>
          <w:spacing w:val="2"/>
          <w:szCs w:val="28"/>
        </w:rPr>
        <w:br/>
        <w:t>Having access to Medicaid has saved her life. Without it, she could never have afforded the treatments that were required to fight her cancer. Her children still have their mother, and she is hopeful that she will be able to watch them grow up.</w:t>
      </w:r>
      <w:r w:rsidRPr="007700A7">
        <w:rPr>
          <w:rFonts w:eastAsia="Times New Roman"/>
          <w:spacing w:val="2"/>
          <w:szCs w:val="28"/>
        </w:rPr>
        <w:br/>
      </w:r>
      <w:r w:rsidRPr="007700A7">
        <w:rPr>
          <w:rFonts w:eastAsia="Times New Roman"/>
          <w:spacing w:val="2"/>
          <w:szCs w:val="28"/>
        </w:rPr>
        <w:br/>
        <w:t>Laurie is not yet done with treatment, and she is scared that if the Affordable Care is repealed without an immediate replacement she will lose coverage before she is finished. She said that she believes “no one should have to battle life-threatening diseases with the anxiety of losing or not having any health insurance. We all deserve a chance to live, and my children deserve to have their mother beside them as they grow up.”</w:t>
      </w:r>
    </w:p>
    <w:p w14:paraId="31ED9A08" w14:textId="77777777" w:rsidR="007700A7" w:rsidRPr="007700A7" w:rsidRDefault="007700A7" w:rsidP="007700A7">
      <w:pPr>
        <w:spacing w:after="0" w:line="240" w:lineRule="auto"/>
        <w:ind w:right="101"/>
        <w:rPr>
          <w:rFonts w:eastAsia="Times New Roman"/>
          <w:spacing w:val="2"/>
          <w:szCs w:val="28"/>
        </w:rPr>
      </w:pPr>
    </w:p>
    <w:sectPr w:rsidR="007700A7" w:rsidRPr="007700A7" w:rsidSect="00422D8E">
      <w:footerReference w:type="default" r:id="rId13"/>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790F" w14:textId="77777777" w:rsidR="00B16155" w:rsidRDefault="00B16155">
      <w:pPr>
        <w:spacing w:after="0" w:line="240" w:lineRule="auto"/>
      </w:pPr>
      <w:r>
        <w:separator/>
      </w:r>
    </w:p>
  </w:endnote>
  <w:endnote w:type="continuationSeparator" w:id="0">
    <w:p w14:paraId="6F8095D5" w14:textId="77777777" w:rsidR="00B16155" w:rsidRDefault="00B16155">
      <w:pPr>
        <w:spacing w:after="0" w:line="240" w:lineRule="auto"/>
      </w:pPr>
      <w:r>
        <w:continuationSeparator/>
      </w:r>
    </w:p>
  </w:endnote>
  <w:endnote w:id="1">
    <w:p w14:paraId="7A75C714" w14:textId="77777777" w:rsidR="00E87B4A" w:rsidRPr="00356650" w:rsidRDefault="00E87B4A" w:rsidP="00E87B4A">
      <w:pPr>
        <w:pStyle w:val="EndnoteText"/>
        <w:rPr>
          <w:sz w:val="20"/>
          <w:szCs w:val="20"/>
        </w:rPr>
      </w:pPr>
      <w:r w:rsidRPr="00356650">
        <w:rPr>
          <w:rStyle w:val="EndnoteReference"/>
          <w:sz w:val="20"/>
          <w:szCs w:val="20"/>
        </w:rPr>
        <w:endnoteRef/>
      </w:r>
      <w:r w:rsidRPr="00356650">
        <w:rPr>
          <w:sz w:val="20"/>
          <w:szCs w:val="20"/>
        </w:rPr>
        <w:t xml:space="preserve">  Office of the Assistant Secretary for Planning and Evaluation</w:t>
      </w:r>
      <w:r>
        <w:rPr>
          <w:sz w:val="20"/>
          <w:szCs w:val="20"/>
        </w:rPr>
        <w:t>, U.S. Department of Health and Human Services</w:t>
      </w:r>
      <w:r w:rsidRPr="00356650">
        <w:rPr>
          <w:sz w:val="20"/>
          <w:szCs w:val="20"/>
        </w:rPr>
        <w:t xml:space="preserve">. </w:t>
      </w:r>
      <w:r w:rsidRPr="002369B7">
        <w:rPr>
          <w:i/>
          <w:sz w:val="20"/>
          <w:szCs w:val="20"/>
        </w:rPr>
        <w:t xml:space="preserve">Health Insurance Coverage and the Affordable Care Act. </w:t>
      </w:r>
      <w:r w:rsidRPr="00356650">
        <w:rPr>
          <w:sz w:val="20"/>
          <w:szCs w:val="20"/>
        </w:rPr>
        <w:t xml:space="preserve">Published March 3, 2016. Accessed December 27, 2016. </w:t>
      </w:r>
      <w:hyperlink r:id="rId1" w:history="1">
        <w:r w:rsidRPr="00356650">
          <w:rPr>
            <w:rStyle w:val="Hyperlink"/>
            <w:sz w:val="20"/>
            <w:szCs w:val="20"/>
          </w:rPr>
          <w:t>https://aspe.hhs.gov/sites/default/files/pdf/187551/ACA2010-2016.pdf</w:t>
        </w:r>
      </w:hyperlink>
      <w:r w:rsidRPr="00356650">
        <w:rPr>
          <w:sz w:val="20"/>
          <w:szCs w:val="20"/>
        </w:rPr>
        <w:t xml:space="preserve"> </w:t>
      </w:r>
    </w:p>
  </w:endnote>
  <w:endnote w:id="2">
    <w:p w14:paraId="1363433E" w14:textId="77777777" w:rsidR="00E87B4A" w:rsidRPr="00356650" w:rsidRDefault="00E87B4A" w:rsidP="00E87B4A">
      <w:pPr>
        <w:pStyle w:val="EndnoteText"/>
        <w:rPr>
          <w:sz w:val="20"/>
          <w:szCs w:val="20"/>
        </w:rPr>
      </w:pPr>
      <w:r w:rsidRPr="00356650">
        <w:rPr>
          <w:rStyle w:val="EndnoteReference"/>
          <w:sz w:val="20"/>
          <w:szCs w:val="20"/>
        </w:rPr>
        <w:endnoteRef/>
      </w:r>
      <w:r w:rsidRPr="00356650">
        <w:rPr>
          <w:sz w:val="20"/>
          <w:szCs w:val="20"/>
        </w:rPr>
        <w:t xml:space="preserve"> </w:t>
      </w:r>
      <w:r>
        <w:rPr>
          <w:sz w:val="20"/>
          <w:szCs w:val="20"/>
        </w:rPr>
        <w:t xml:space="preserve"> Congressional Budget Office. </w:t>
      </w:r>
      <w:r w:rsidRPr="002369B7">
        <w:rPr>
          <w:i/>
          <w:sz w:val="20"/>
          <w:szCs w:val="20"/>
        </w:rPr>
        <w:t>Federal Subsidies for Health Insurance Coverage for People Under Age 65: 2016-2026.</w:t>
      </w:r>
      <w:r>
        <w:rPr>
          <w:sz w:val="20"/>
          <w:szCs w:val="20"/>
        </w:rPr>
        <w:t xml:space="preserve"> Published March 2016. Accessed December 27, 2016. </w:t>
      </w:r>
      <w:hyperlink r:id="rId2" w:history="1">
        <w:r w:rsidRPr="00EF64E5">
          <w:rPr>
            <w:rStyle w:val="Hyperlink"/>
            <w:sz w:val="20"/>
            <w:szCs w:val="20"/>
          </w:rPr>
          <w:t>http://www.cbo.gov/sites/default/files/114th-congress-2015-2016/reports/51385-HealthInsuranceBaseline_OneCol.pdf</w:t>
        </w:r>
      </w:hyperlink>
      <w:r>
        <w:rPr>
          <w:sz w:val="20"/>
          <w:szCs w:val="20"/>
        </w:rPr>
        <w:t xml:space="preserve"> </w:t>
      </w:r>
    </w:p>
  </w:endnote>
  <w:endnote w:id="3">
    <w:p w14:paraId="3E19B714" w14:textId="27150AF1" w:rsidR="00C37422" w:rsidRPr="00E13EB5" w:rsidRDefault="00C37422" w:rsidP="00B173B7">
      <w:pPr>
        <w:pStyle w:val="EndnoteText"/>
        <w:rPr>
          <w:sz w:val="20"/>
          <w:szCs w:val="20"/>
        </w:rPr>
      </w:pPr>
      <w:r w:rsidRPr="00E13EB5">
        <w:rPr>
          <w:rStyle w:val="EndnoteReference"/>
          <w:sz w:val="20"/>
          <w:szCs w:val="20"/>
        </w:rPr>
        <w:endnoteRef/>
      </w:r>
      <w:r w:rsidRPr="00E13EB5">
        <w:rPr>
          <w:sz w:val="20"/>
          <w:szCs w:val="20"/>
        </w:rPr>
        <w:t xml:space="preserve">  </w:t>
      </w:r>
      <w:r w:rsidR="00E87B4A" w:rsidRPr="00E13EB5">
        <w:rPr>
          <w:sz w:val="20"/>
          <w:szCs w:val="20"/>
        </w:rPr>
        <w:t>E. Ward et al. Association of Insurance with Cancer Care Utilization and Outcomes</w:t>
      </w:r>
      <w:r w:rsidR="00E87B4A">
        <w:rPr>
          <w:sz w:val="20"/>
          <w:szCs w:val="20"/>
        </w:rPr>
        <w:t>.</w:t>
      </w:r>
      <w:r w:rsidR="00E87B4A" w:rsidRPr="00E13EB5">
        <w:rPr>
          <w:sz w:val="20"/>
          <w:szCs w:val="20"/>
        </w:rPr>
        <w:t xml:space="preserve"> </w:t>
      </w:r>
      <w:r w:rsidR="00E87B4A" w:rsidRPr="00E13EB5">
        <w:rPr>
          <w:i/>
          <w:iCs/>
          <w:sz w:val="20"/>
          <w:szCs w:val="20"/>
        </w:rPr>
        <w:t xml:space="preserve">CA: A Cancer Journal for Clinicians </w:t>
      </w:r>
      <w:r w:rsidR="00E87B4A" w:rsidRPr="00E13EB5">
        <w:rPr>
          <w:sz w:val="20"/>
          <w:szCs w:val="20"/>
        </w:rPr>
        <w:t xml:space="preserve">58:1 (Jan./Feb. 2008), </w:t>
      </w:r>
      <w:hyperlink r:id="rId3" w:history="1">
        <w:r w:rsidR="00E87B4A" w:rsidRPr="00E13EB5">
          <w:rPr>
            <w:rStyle w:val="Hyperlink"/>
            <w:sz w:val="20"/>
            <w:szCs w:val="20"/>
          </w:rPr>
          <w:t>http://www.cancer.org/cancer/news/report-links-health-insurance-status-with-cancer-care</w:t>
        </w:r>
      </w:hyperlink>
      <w:r w:rsidR="00E87B4A" w:rsidRPr="00E13EB5">
        <w:rPr>
          <w:sz w:val="20"/>
          <w:szCs w:val="20"/>
        </w:rPr>
        <w:t>.</w:t>
      </w:r>
    </w:p>
  </w:endnote>
  <w:endnote w:id="4">
    <w:p w14:paraId="7B91627D" w14:textId="033BF9B9" w:rsidR="00C37422" w:rsidRPr="00E13EB5" w:rsidRDefault="00C37422">
      <w:pPr>
        <w:pStyle w:val="EndnoteText"/>
        <w:rPr>
          <w:sz w:val="20"/>
          <w:szCs w:val="20"/>
        </w:rPr>
      </w:pPr>
      <w:r w:rsidRPr="00E13EB5">
        <w:rPr>
          <w:rStyle w:val="EndnoteReference"/>
          <w:sz w:val="20"/>
          <w:szCs w:val="20"/>
        </w:rPr>
        <w:endnoteRef/>
      </w:r>
      <w:r w:rsidRPr="00E13EB5">
        <w:rPr>
          <w:sz w:val="20"/>
          <w:szCs w:val="20"/>
        </w:rPr>
        <w:t xml:space="preserve">  </w:t>
      </w:r>
      <w:r w:rsidR="00E87B4A" w:rsidRPr="00E13EB5">
        <w:rPr>
          <w:sz w:val="20"/>
          <w:szCs w:val="20"/>
        </w:rPr>
        <w:t>American Cancer Society</w:t>
      </w:r>
      <w:r w:rsidR="00E87B4A">
        <w:rPr>
          <w:sz w:val="20"/>
          <w:szCs w:val="20"/>
        </w:rPr>
        <w:t>.</w:t>
      </w:r>
      <w:r w:rsidR="00E87B4A" w:rsidRPr="00E13EB5">
        <w:rPr>
          <w:sz w:val="20"/>
          <w:szCs w:val="20"/>
        </w:rPr>
        <w:t xml:space="preserve"> </w:t>
      </w:r>
      <w:r w:rsidR="00E87B4A" w:rsidRPr="002369B7">
        <w:rPr>
          <w:i/>
          <w:sz w:val="20"/>
          <w:szCs w:val="20"/>
        </w:rPr>
        <w:t>Cancer Facts &amp; Figures 2016</w:t>
      </w:r>
      <w:r w:rsidR="00E87B4A">
        <w:rPr>
          <w:sz w:val="20"/>
          <w:szCs w:val="20"/>
        </w:rPr>
        <w:t>.</w:t>
      </w:r>
      <w:r w:rsidR="00E87B4A" w:rsidRPr="00E13EB5">
        <w:rPr>
          <w:sz w:val="20"/>
          <w:szCs w:val="20"/>
        </w:rPr>
        <w:t xml:space="preserve"> </w:t>
      </w:r>
      <w:r w:rsidR="00E87B4A">
        <w:rPr>
          <w:sz w:val="20"/>
          <w:szCs w:val="20"/>
        </w:rPr>
        <w:t>A</w:t>
      </w:r>
      <w:r w:rsidR="00E87B4A" w:rsidRPr="00E13EB5">
        <w:rPr>
          <w:sz w:val="20"/>
          <w:szCs w:val="20"/>
        </w:rPr>
        <w:t xml:space="preserve">vailable at </w:t>
      </w:r>
      <w:hyperlink r:id="rId4" w:history="1">
        <w:r w:rsidR="00E87B4A" w:rsidRPr="00E13EB5">
          <w:rPr>
            <w:rStyle w:val="Hyperlink"/>
            <w:sz w:val="20"/>
            <w:szCs w:val="20"/>
          </w:rPr>
          <w:t>http://www.cancer.org/acs/groups/content/@research/documents/document/acspc-047079.pdf</w:t>
        </w:r>
      </w:hyperlink>
      <w:r w:rsidR="00E87B4A" w:rsidRPr="00E13EB5">
        <w:rPr>
          <w:sz w:val="20"/>
          <w:szCs w:val="20"/>
        </w:rPr>
        <w:t>.</w:t>
      </w:r>
    </w:p>
  </w:endnote>
  <w:endnote w:id="5">
    <w:p w14:paraId="137C48A7" w14:textId="4E89F8BC" w:rsidR="00C37422" w:rsidRPr="00E13EB5" w:rsidRDefault="00C37422">
      <w:pPr>
        <w:pStyle w:val="EndnoteText"/>
        <w:rPr>
          <w:sz w:val="20"/>
          <w:szCs w:val="20"/>
        </w:rPr>
      </w:pPr>
      <w:r w:rsidRPr="00E13EB5">
        <w:rPr>
          <w:rStyle w:val="EndnoteReference"/>
          <w:sz w:val="20"/>
          <w:szCs w:val="20"/>
        </w:rPr>
        <w:endnoteRef/>
      </w:r>
      <w:r w:rsidRPr="00E13EB5">
        <w:rPr>
          <w:sz w:val="20"/>
          <w:szCs w:val="20"/>
        </w:rPr>
        <w:t xml:space="preserve">  </w:t>
      </w:r>
      <w:r w:rsidR="00E87B4A" w:rsidRPr="00E13EB5">
        <w:rPr>
          <w:sz w:val="20"/>
          <w:szCs w:val="20"/>
        </w:rPr>
        <w:t>American Cancer Society</w:t>
      </w:r>
      <w:r w:rsidR="00E87B4A">
        <w:rPr>
          <w:sz w:val="20"/>
          <w:szCs w:val="20"/>
        </w:rPr>
        <w:t>.</w:t>
      </w:r>
      <w:r w:rsidR="00E87B4A" w:rsidRPr="00E13EB5">
        <w:rPr>
          <w:sz w:val="20"/>
          <w:szCs w:val="20"/>
        </w:rPr>
        <w:t xml:space="preserve"> </w:t>
      </w:r>
      <w:r w:rsidR="00E87B4A" w:rsidRPr="002369B7">
        <w:rPr>
          <w:i/>
          <w:sz w:val="20"/>
          <w:szCs w:val="20"/>
        </w:rPr>
        <w:t>Cancer Treatment &amp; Survivorship Facts &amp; Figures 2016-2017</w:t>
      </w:r>
      <w:r w:rsidR="00E87B4A">
        <w:rPr>
          <w:sz w:val="20"/>
          <w:szCs w:val="20"/>
        </w:rPr>
        <w:t>.</w:t>
      </w:r>
      <w:r w:rsidR="00E87B4A" w:rsidRPr="00E13EB5">
        <w:rPr>
          <w:sz w:val="20"/>
          <w:szCs w:val="20"/>
        </w:rPr>
        <w:t xml:space="preserve"> </w:t>
      </w:r>
      <w:r w:rsidR="00E87B4A">
        <w:rPr>
          <w:sz w:val="20"/>
          <w:szCs w:val="20"/>
        </w:rPr>
        <w:t>A</w:t>
      </w:r>
      <w:r w:rsidR="00E87B4A" w:rsidRPr="00E13EB5">
        <w:rPr>
          <w:sz w:val="20"/>
          <w:szCs w:val="20"/>
        </w:rPr>
        <w:t xml:space="preserve">vailable at </w:t>
      </w:r>
      <w:hyperlink r:id="rId5" w:history="1">
        <w:r w:rsidR="00E87B4A" w:rsidRPr="00E13EB5">
          <w:rPr>
            <w:rStyle w:val="Hyperlink"/>
            <w:sz w:val="20"/>
            <w:szCs w:val="20"/>
          </w:rPr>
          <w:t>http://www.cancer.org/acs/groups/content/@research/documents/document/acspc-048074.pdf</w:t>
        </w:r>
      </w:hyperlink>
      <w:r w:rsidR="00E87B4A" w:rsidRPr="00E13EB5">
        <w:rPr>
          <w:sz w:val="20"/>
          <w:szCs w:val="20"/>
        </w:rPr>
        <w:t>.</w:t>
      </w:r>
    </w:p>
  </w:endnote>
  <w:endnote w:id="6">
    <w:p w14:paraId="21FBF03B" w14:textId="746F656F" w:rsidR="00C37422" w:rsidRPr="00E13EB5" w:rsidRDefault="00C37422">
      <w:pPr>
        <w:pStyle w:val="EndnoteText"/>
        <w:rPr>
          <w:sz w:val="20"/>
          <w:szCs w:val="20"/>
          <w:u w:val="single"/>
        </w:rPr>
      </w:pPr>
      <w:r w:rsidRPr="00E13EB5">
        <w:rPr>
          <w:rStyle w:val="EndnoteReference"/>
          <w:sz w:val="20"/>
          <w:szCs w:val="20"/>
        </w:rPr>
        <w:endnoteRef/>
      </w:r>
      <w:r w:rsidRPr="00E13EB5">
        <w:rPr>
          <w:sz w:val="20"/>
          <w:szCs w:val="20"/>
        </w:rPr>
        <w:t xml:space="preserve">  </w:t>
      </w:r>
      <w:r w:rsidR="00E87B4A" w:rsidRPr="00E13EB5">
        <w:rPr>
          <w:sz w:val="20"/>
          <w:szCs w:val="20"/>
        </w:rPr>
        <w:t xml:space="preserve">Barnett, Jessica C and Marina S. </w:t>
      </w:r>
      <w:proofErr w:type="spellStart"/>
      <w:r w:rsidR="00E87B4A" w:rsidRPr="00E13EB5">
        <w:rPr>
          <w:sz w:val="20"/>
          <w:szCs w:val="20"/>
        </w:rPr>
        <w:t>Vornovitsky</w:t>
      </w:r>
      <w:proofErr w:type="spellEnd"/>
      <w:r w:rsidR="00E87B4A" w:rsidRPr="00E13EB5">
        <w:rPr>
          <w:sz w:val="20"/>
          <w:szCs w:val="20"/>
        </w:rPr>
        <w:t xml:space="preserve">, Current Population Reports, </w:t>
      </w:r>
      <w:proofErr w:type="spellStart"/>
      <w:r w:rsidR="00E87B4A" w:rsidRPr="00E13EB5">
        <w:rPr>
          <w:sz w:val="20"/>
          <w:szCs w:val="20"/>
        </w:rPr>
        <w:t>P60</w:t>
      </w:r>
      <w:proofErr w:type="spellEnd"/>
      <w:r w:rsidR="00E87B4A" w:rsidRPr="00E13EB5">
        <w:rPr>
          <w:sz w:val="20"/>
          <w:szCs w:val="20"/>
        </w:rPr>
        <w:t>-257(RV)</w:t>
      </w:r>
      <w:r w:rsidR="00E87B4A">
        <w:rPr>
          <w:sz w:val="20"/>
          <w:szCs w:val="20"/>
        </w:rPr>
        <w:t>.</w:t>
      </w:r>
      <w:r w:rsidR="00E87B4A" w:rsidRPr="00E13EB5">
        <w:rPr>
          <w:sz w:val="20"/>
          <w:szCs w:val="20"/>
        </w:rPr>
        <w:t xml:space="preserve"> </w:t>
      </w:r>
      <w:r w:rsidR="00E87B4A" w:rsidRPr="002369B7">
        <w:rPr>
          <w:i/>
          <w:sz w:val="20"/>
          <w:szCs w:val="20"/>
        </w:rPr>
        <w:t xml:space="preserve">Health Insurance Coverage in the United States:  2015. </w:t>
      </w:r>
      <w:r w:rsidR="00E87B4A" w:rsidRPr="00E13EB5">
        <w:rPr>
          <w:sz w:val="20"/>
          <w:szCs w:val="20"/>
        </w:rPr>
        <w:t>U.S. Government Printing Office, Washington, DC, 2016.</w:t>
      </w:r>
    </w:p>
  </w:endnote>
  <w:endnote w:id="7">
    <w:p w14:paraId="593BDECC" w14:textId="325471FA" w:rsidR="00C37422" w:rsidRPr="00E13EB5" w:rsidRDefault="00C37422">
      <w:pPr>
        <w:pStyle w:val="EndnoteText"/>
        <w:rPr>
          <w:sz w:val="20"/>
          <w:szCs w:val="20"/>
        </w:rPr>
      </w:pPr>
      <w:r w:rsidRPr="00E13EB5">
        <w:rPr>
          <w:rStyle w:val="EndnoteReference"/>
          <w:sz w:val="20"/>
          <w:szCs w:val="20"/>
        </w:rPr>
        <w:endnoteRef/>
      </w:r>
      <w:r w:rsidRPr="00E13EB5">
        <w:rPr>
          <w:sz w:val="20"/>
          <w:szCs w:val="20"/>
        </w:rPr>
        <w:t xml:space="preserve">  </w:t>
      </w:r>
      <w:r w:rsidR="00E87B4A" w:rsidRPr="00356650">
        <w:rPr>
          <w:sz w:val="20"/>
          <w:szCs w:val="20"/>
        </w:rPr>
        <w:t>Office of the Assistant Secretary for Planning and Evaluation</w:t>
      </w:r>
      <w:r w:rsidR="00E87B4A">
        <w:rPr>
          <w:sz w:val="20"/>
          <w:szCs w:val="20"/>
        </w:rPr>
        <w:t>, U.S. Department of Health and Human Services</w:t>
      </w:r>
      <w:r w:rsidR="00E87B4A" w:rsidRPr="00356650">
        <w:rPr>
          <w:sz w:val="20"/>
          <w:szCs w:val="20"/>
        </w:rPr>
        <w:t>.</w:t>
      </w:r>
      <w:r w:rsidR="00E87B4A" w:rsidRPr="00E13EB5">
        <w:rPr>
          <w:sz w:val="20"/>
          <w:szCs w:val="20"/>
        </w:rPr>
        <w:t xml:space="preserve"> Compilation of State Data on the Affordable Care Act</w:t>
      </w:r>
      <w:r w:rsidR="00E87B4A">
        <w:rPr>
          <w:sz w:val="20"/>
          <w:szCs w:val="20"/>
        </w:rPr>
        <w:t>.</w:t>
      </w:r>
      <w:r w:rsidR="00E87B4A" w:rsidRPr="00E13EB5">
        <w:rPr>
          <w:sz w:val="20"/>
          <w:szCs w:val="20"/>
        </w:rPr>
        <w:t xml:space="preserve"> </w:t>
      </w:r>
      <w:r w:rsidR="00E87B4A">
        <w:rPr>
          <w:sz w:val="20"/>
          <w:szCs w:val="20"/>
        </w:rPr>
        <w:t xml:space="preserve">Published December 2016. Accessed December 2016. </w:t>
      </w:r>
      <w:hyperlink r:id="rId6" w:history="1">
        <w:r w:rsidR="00E87B4A" w:rsidRPr="00E13EB5">
          <w:rPr>
            <w:rStyle w:val="Hyperlink"/>
            <w:sz w:val="20"/>
            <w:szCs w:val="20"/>
          </w:rPr>
          <w:t>https://aspe.hhs.gov/compilation-state-data-affordable-care-act</w:t>
        </w:r>
      </w:hyperlink>
      <w:r w:rsidR="00E87B4A" w:rsidRPr="00E13EB5">
        <w:rPr>
          <w:sz w:val="20"/>
          <w:szCs w:val="20"/>
        </w:rPr>
        <w:t xml:space="preserve">.  Unless otherwise stated, all data points in this fact sheet are derived from the </w:t>
      </w:r>
      <w:proofErr w:type="spellStart"/>
      <w:r w:rsidR="00E87B4A" w:rsidRPr="00E13EB5">
        <w:rPr>
          <w:sz w:val="20"/>
          <w:szCs w:val="20"/>
        </w:rPr>
        <w:t>ASPE</w:t>
      </w:r>
      <w:proofErr w:type="spellEnd"/>
      <w:r w:rsidR="00E87B4A" w:rsidRPr="00E13EB5">
        <w:rPr>
          <w:sz w:val="20"/>
          <w:szCs w:val="20"/>
        </w:rPr>
        <w:t xml:space="preserve"> research brief.</w:t>
      </w:r>
    </w:p>
  </w:endnote>
  <w:endnote w:id="8">
    <w:p w14:paraId="68DF305E" w14:textId="5E85BFF5" w:rsidR="00C37422" w:rsidRPr="00E13EB5" w:rsidRDefault="00C37422" w:rsidP="006F4CC0">
      <w:pPr>
        <w:pStyle w:val="EndnoteText"/>
        <w:rPr>
          <w:sz w:val="20"/>
          <w:szCs w:val="20"/>
        </w:rPr>
      </w:pPr>
      <w:r w:rsidRPr="00E13EB5">
        <w:rPr>
          <w:rStyle w:val="EndnoteReference"/>
          <w:sz w:val="20"/>
          <w:szCs w:val="20"/>
        </w:rPr>
        <w:endnoteRef/>
      </w:r>
      <w:r w:rsidRPr="00E13EB5">
        <w:rPr>
          <w:sz w:val="20"/>
          <w:szCs w:val="20"/>
        </w:rPr>
        <w:t xml:space="preserve">  Unlike many other consumer protections, the annual and lifetime limit protection apply to grandfathered plans. </w:t>
      </w:r>
      <w:r w:rsidR="00A34DAF" w:rsidRPr="009B571C">
        <w:rPr>
          <w:sz w:val="20"/>
          <w:szCs w:val="20"/>
        </w:rPr>
        <w:t>Note that the prohibition on annual limits does not apply to grandfathered health plans sold in the individual market.</w:t>
      </w:r>
    </w:p>
  </w:endnote>
  <w:endnote w:id="9">
    <w:p w14:paraId="554F7471" w14:textId="3B506B98" w:rsidR="00C37422" w:rsidRPr="00C37422" w:rsidRDefault="00C37422">
      <w:pPr>
        <w:pStyle w:val="EndnoteText"/>
        <w:rPr>
          <w:sz w:val="20"/>
          <w:szCs w:val="20"/>
        </w:rPr>
      </w:pPr>
      <w:r w:rsidRPr="00C37422">
        <w:rPr>
          <w:rStyle w:val="EndnoteReference"/>
          <w:sz w:val="20"/>
          <w:szCs w:val="20"/>
        </w:rPr>
        <w:endnoteRef/>
      </w:r>
      <w:r w:rsidRPr="00C37422">
        <w:rPr>
          <w:sz w:val="20"/>
          <w:szCs w:val="20"/>
        </w:rPr>
        <w:t xml:space="preserve"> </w:t>
      </w:r>
      <w:r w:rsidR="00E87B4A">
        <w:rPr>
          <w:sz w:val="20"/>
          <w:szCs w:val="20"/>
        </w:rPr>
        <w:t xml:space="preserve"> </w:t>
      </w:r>
      <w:r w:rsidR="00E87B4A" w:rsidRPr="00C37422">
        <w:rPr>
          <w:sz w:val="20"/>
          <w:szCs w:val="20"/>
        </w:rPr>
        <w:t>Trust for America’s Health</w:t>
      </w:r>
      <w:r w:rsidR="00E87B4A">
        <w:rPr>
          <w:sz w:val="20"/>
          <w:szCs w:val="20"/>
        </w:rPr>
        <w:t>.</w:t>
      </w:r>
      <w:r w:rsidR="00E87B4A" w:rsidRPr="00C37422">
        <w:rPr>
          <w:sz w:val="20"/>
          <w:szCs w:val="20"/>
        </w:rPr>
        <w:t xml:space="preserve"> </w:t>
      </w:r>
      <w:r w:rsidR="00E87B4A" w:rsidRPr="002369B7">
        <w:rPr>
          <w:i/>
          <w:sz w:val="20"/>
          <w:szCs w:val="20"/>
        </w:rPr>
        <w:t xml:space="preserve">The Prevention and Public Health Fund: Preventing Disease and Reducing-Long-Term Health Costs. </w:t>
      </w:r>
      <w:r w:rsidR="00E87B4A" w:rsidRPr="00C37422">
        <w:rPr>
          <w:sz w:val="20"/>
          <w:szCs w:val="20"/>
        </w:rPr>
        <w:t>Dec</w:t>
      </w:r>
      <w:r w:rsidR="00E87B4A">
        <w:rPr>
          <w:sz w:val="20"/>
          <w:szCs w:val="20"/>
        </w:rPr>
        <w:t>ember</w:t>
      </w:r>
      <w:r w:rsidR="00E87B4A" w:rsidRPr="00C37422">
        <w:rPr>
          <w:sz w:val="20"/>
          <w:szCs w:val="20"/>
        </w:rPr>
        <w:t xml:space="preserve"> 2016</w:t>
      </w:r>
      <w:r w:rsidR="00E87B4A">
        <w:rPr>
          <w:sz w:val="20"/>
          <w:szCs w:val="20"/>
        </w:rPr>
        <w:t>. A</w:t>
      </w:r>
      <w:r w:rsidR="00E87B4A" w:rsidRPr="00C37422">
        <w:rPr>
          <w:sz w:val="20"/>
          <w:szCs w:val="20"/>
        </w:rPr>
        <w:t xml:space="preserve">vailable at </w:t>
      </w:r>
      <w:hyperlink r:id="rId7" w:history="1">
        <w:r w:rsidR="00E87B4A" w:rsidRPr="00C37422">
          <w:rPr>
            <w:rStyle w:val="Hyperlink"/>
            <w:sz w:val="20"/>
            <w:szCs w:val="20"/>
          </w:rPr>
          <w:t>http://healthyamericans.org/health-issues/wp-content/uploads/2016/12/Fund-Backgrounder-Dec-2016.pdf</w:t>
        </w:r>
      </w:hyperlink>
      <w:r w:rsidR="00E87B4A" w:rsidRPr="00C37422">
        <w:rPr>
          <w:sz w:val="20"/>
          <w:szCs w:val="20"/>
        </w:rPr>
        <w:t>.</w:t>
      </w:r>
    </w:p>
  </w:endnote>
  <w:endnote w:id="10">
    <w:p w14:paraId="6432FB46" w14:textId="787E3BAC" w:rsidR="00C37422" w:rsidRPr="00C37422" w:rsidRDefault="00C37422">
      <w:pPr>
        <w:pStyle w:val="EndnoteText"/>
        <w:rPr>
          <w:sz w:val="20"/>
          <w:szCs w:val="20"/>
        </w:rPr>
      </w:pPr>
      <w:r w:rsidRPr="00C37422">
        <w:rPr>
          <w:rStyle w:val="EndnoteReference"/>
          <w:sz w:val="20"/>
          <w:szCs w:val="20"/>
        </w:rPr>
        <w:endnoteRef/>
      </w:r>
      <w:r w:rsidRPr="00C37422">
        <w:rPr>
          <w:sz w:val="20"/>
          <w:szCs w:val="20"/>
        </w:rPr>
        <w:t xml:space="preserve">  </w:t>
      </w:r>
      <w:r w:rsidR="00E87B4A" w:rsidRPr="00C37422">
        <w:rPr>
          <w:sz w:val="20"/>
          <w:szCs w:val="20"/>
        </w:rPr>
        <w:t>Trust for America’s Health</w:t>
      </w:r>
      <w:r w:rsidR="00E87B4A">
        <w:rPr>
          <w:sz w:val="20"/>
          <w:szCs w:val="20"/>
        </w:rPr>
        <w:t>.</w:t>
      </w:r>
      <w:r w:rsidR="00E87B4A" w:rsidRPr="00C37422">
        <w:rPr>
          <w:sz w:val="20"/>
          <w:szCs w:val="20"/>
        </w:rPr>
        <w:t xml:space="preserve"> </w:t>
      </w:r>
      <w:r w:rsidR="00E87B4A" w:rsidRPr="002369B7">
        <w:rPr>
          <w:i/>
          <w:sz w:val="20"/>
          <w:szCs w:val="20"/>
        </w:rPr>
        <w:t>The Prevention and Pub</w:t>
      </w:r>
      <w:r w:rsidR="00333F8D">
        <w:rPr>
          <w:i/>
          <w:sz w:val="20"/>
          <w:szCs w:val="20"/>
        </w:rPr>
        <w:t>lic Health Fund at Work in Ohio</w:t>
      </w:r>
      <w:r w:rsidR="00E87B4A">
        <w:rPr>
          <w:sz w:val="20"/>
          <w:szCs w:val="20"/>
        </w:rPr>
        <w:t>.</w:t>
      </w:r>
      <w:r w:rsidR="00E87B4A" w:rsidRPr="00C37422">
        <w:rPr>
          <w:sz w:val="20"/>
          <w:szCs w:val="20"/>
        </w:rPr>
        <w:t xml:space="preserve"> May 6, 2016</w:t>
      </w:r>
      <w:r w:rsidR="00E87B4A">
        <w:rPr>
          <w:sz w:val="20"/>
          <w:szCs w:val="20"/>
        </w:rPr>
        <w:t>. A</w:t>
      </w:r>
      <w:r w:rsidR="00E87B4A" w:rsidRPr="00C37422">
        <w:rPr>
          <w:sz w:val="20"/>
          <w:szCs w:val="20"/>
        </w:rPr>
        <w:t>vailable at</w:t>
      </w:r>
      <w:r w:rsidR="00E87B4A">
        <w:rPr>
          <w:sz w:val="20"/>
          <w:szCs w:val="20"/>
        </w:rPr>
        <w:t xml:space="preserve"> </w:t>
      </w:r>
      <w:r w:rsidR="00333F8D" w:rsidRPr="007C528C">
        <w:rPr>
          <w:sz w:val="20"/>
          <w:szCs w:val="20"/>
        </w:rPr>
        <w:t>http://healthyamericans.org/health-issues/wp-content/uploads/2016/05/OH-Fund-at-Work.pdf</w:t>
      </w:r>
    </w:p>
  </w:endnote>
  <w:endnote w:id="11">
    <w:p w14:paraId="12DE9FAC" w14:textId="373CEA18" w:rsidR="00E13EB5" w:rsidRPr="00E13EB5" w:rsidRDefault="00E13EB5" w:rsidP="004B3E56">
      <w:pPr>
        <w:pStyle w:val="EndnoteText"/>
        <w:rPr>
          <w:sz w:val="20"/>
          <w:szCs w:val="20"/>
        </w:rPr>
      </w:pPr>
      <w:r w:rsidRPr="00E13EB5">
        <w:rPr>
          <w:rStyle w:val="EndnoteReference"/>
          <w:sz w:val="20"/>
          <w:szCs w:val="20"/>
        </w:rPr>
        <w:endnoteRef/>
      </w:r>
      <w:r w:rsidRPr="00E13EB5">
        <w:rPr>
          <w:sz w:val="20"/>
          <w:szCs w:val="20"/>
        </w:rPr>
        <w:t xml:space="preserve">  This protection does not apply to ind</w:t>
      </w:r>
      <w:r w:rsidR="00A34DAF">
        <w:rPr>
          <w:sz w:val="20"/>
          <w:szCs w:val="20"/>
        </w:rPr>
        <w:t>ividuals who are enrolled in a grandfathered</w:t>
      </w:r>
      <w:r w:rsidRPr="00E13EB5">
        <w:rPr>
          <w:sz w:val="20"/>
          <w:szCs w:val="20"/>
        </w:rPr>
        <w:t xml:space="preserve"> health insurance plan.  </w:t>
      </w:r>
    </w:p>
  </w:endnote>
  <w:endnote w:id="12">
    <w:p w14:paraId="01A04AE7" w14:textId="65856F38" w:rsidR="00E13EB5" w:rsidRPr="00E13EB5" w:rsidRDefault="00E13EB5">
      <w:pPr>
        <w:pStyle w:val="EndnoteText"/>
        <w:rPr>
          <w:sz w:val="20"/>
          <w:szCs w:val="20"/>
        </w:rPr>
      </w:pPr>
      <w:r w:rsidRPr="00E13EB5">
        <w:rPr>
          <w:rStyle w:val="EndnoteReference"/>
          <w:sz w:val="20"/>
          <w:szCs w:val="20"/>
        </w:rPr>
        <w:endnoteRef/>
      </w:r>
      <w:r w:rsidRPr="00E13EB5">
        <w:rPr>
          <w:sz w:val="20"/>
          <w:szCs w:val="20"/>
        </w:rPr>
        <w:t xml:space="preserve">  </w:t>
      </w:r>
      <w:r w:rsidR="00E87B4A" w:rsidRPr="00E13EB5">
        <w:rPr>
          <w:sz w:val="20"/>
          <w:szCs w:val="20"/>
        </w:rPr>
        <w:t xml:space="preserve">G Claxton, C Cox, A Damico, L Levitt, K </w:t>
      </w:r>
      <w:proofErr w:type="spellStart"/>
      <w:r w:rsidR="00E87B4A" w:rsidRPr="00E13EB5">
        <w:rPr>
          <w:sz w:val="20"/>
          <w:szCs w:val="20"/>
        </w:rPr>
        <w:t>Pollitz</w:t>
      </w:r>
      <w:proofErr w:type="spellEnd"/>
      <w:r w:rsidR="00E87B4A">
        <w:rPr>
          <w:sz w:val="20"/>
          <w:szCs w:val="20"/>
        </w:rPr>
        <w:t>.</w:t>
      </w:r>
      <w:r w:rsidR="00E87B4A" w:rsidRPr="00E13EB5">
        <w:rPr>
          <w:sz w:val="20"/>
          <w:szCs w:val="20"/>
        </w:rPr>
        <w:t xml:space="preserve"> </w:t>
      </w:r>
      <w:r w:rsidR="00E87B4A" w:rsidRPr="00E13EB5">
        <w:rPr>
          <w:sz w:val="20"/>
          <w:szCs w:val="20"/>
          <w:u w:val="single"/>
        </w:rPr>
        <w:t>Pre-existing Conditions and Medical Underwriting in the Individual Insurance Market Prior to the ACA</w:t>
      </w:r>
      <w:r w:rsidR="00E87B4A">
        <w:rPr>
          <w:sz w:val="20"/>
          <w:szCs w:val="20"/>
        </w:rPr>
        <w:t>.</w:t>
      </w:r>
      <w:r w:rsidR="00E87B4A" w:rsidRPr="00E13EB5">
        <w:rPr>
          <w:sz w:val="20"/>
          <w:szCs w:val="20"/>
        </w:rPr>
        <w:t xml:space="preserve"> (The Henry J. Kaiser Family Foundation</w:t>
      </w:r>
      <w:r w:rsidR="00E87B4A">
        <w:rPr>
          <w:sz w:val="20"/>
          <w:szCs w:val="20"/>
        </w:rPr>
        <w:t>). December 2016.</w:t>
      </w:r>
      <w:r w:rsidR="00E87B4A" w:rsidRPr="00E13EB5">
        <w:rPr>
          <w:sz w:val="20"/>
          <w:szCs w:val="20"/>
        </w:rPr>
        <w:t xml:space="preserve"> </w:t>
      </w:r>
      <w:r w:rsidR="00E87B4A">
        <w:rPr>
          <w:sz w:val="20"/>
          <w:szCs w:val="20"/>
        </w:rPr>
        <w:t>A</w:t>
      </w:r>
      <w:r w:rsidR="00E87B4A" w:rsidRPr="00E13EB5">
        <w:rPr>
          <w:sz w:val="20"/>
          <w:szCs w:val="20"/>
        </w:rPr>
        <w:t xml:space="preserve">vailable at </w:t>
      </w:r>
      <w:hyperlink r:id="rId8" w:history="1">
        <w:r w:rsidR="00E87B4A" w:rsidRPr="00E13EB5">
          <w:rPr>
            <w:rStyle w:val="Hyperlink"/>
            <w:sz w:val="20"/>
            <w:szCs w:val="20"/>
          </w:rPr>
          <w:t>http://files.kff.org/attachment/Issue-Brief-Pre-existing-Conditions-and-Medical-Underwriting-in-the-Individual-Insurance-Market-Prior-to-the-ACA</w:t>
        </w:r>
      </w:hyperlink>
      <w:r w:rsidR="00E87B4A" w:rsidRPr="00E13EB5">
        <w:rPr>
          <w:sz w:val="20"/>
          <w:szCs w:val="20"/>
        </w:rPr>
        <w:t>.</w:t>
      </w:r>
    </w:p>
  </w:endnote>
  <w:endnote w:id="13">
    <w:p w14:paraId="7D6622FB" w14:textId="1A06E9EB" w:rsidR="00E13EB5" w:rsidRPr="00E13EB5" w:rsidRDefault="00E13EB5">
      <w:pPr>
        <w:pStyle w:val="EndnoteText"/>
        <w:rPr>
          <w:sz w:val="20"/>
          <w:szCs w:val="20"/>
        </w:rPr>
      </w:pPr>
      <w:r w:rsidRPr="00E13EB5">
        <w:rPr>
          <w:rStyle w:val="EndnoteReference"/>
          <w:sz w:val="20"/>
          <w:szCs w:val="20"/>
        </w:rPr>
        <w:endnoteRef/>
      </w:r>
      <w:r w:rsidRPr="00E13EB5">
        <w:rPr>
          <w:sz w:val="20"/>
          <w:szCs w:val="20"/>
        </w:rPr>
        <w:t xml:space="preserve">  </w:t>
      </w:r>
      <w:r w:rsidR="00E87B4A" w:rsidRPr="00E13EB5">
        <w:rPr>
          <w:sz w:val="20"/>
          <w:szCs w:val="20"/>
        </w:rPr>
        <w:t>Office of the Assistant Secretary for Planning and Evaluation.</w:t>
      </w:r>
      <w:r w:rsidR="00E87B4A">
        <w:rPr>
          <w:sz w:val="20"/>
          <w:szCs w:val="20"/>
        </w:rPr>
        <w:t xml:space="preserve"> U.S. Department of Health and Human Services.</w:t>
      </w:r>
      <w:r w:rsidR="00E87B4A" w:rsidRPr="00E13EB5">
        <w:rPr>
          <w:sz w:val="20"/>
          <w:szCs w:val="20"/>
        </w:rPr>
        <w:t xml:space="preserve"> </w:t>
      </w:r>
      <w:r w:rsidR="00E87B4A" w:rsidRPr="002369B7">
        <w:rPr>
          <w:i/>
          <w:sz w:val="20"/>
          <w:szCs w:val="20"/>
        </w:rPr>
        <w:t>U.S. Federal Poverty Guidelines Used to Determine Financial Eligibility for Certain Federal Programs.</w:t>
      </w:r>
      <w:r w:rsidR="00E87B4A" w:rsidRPr="00E13EB5">
        <w:rPr>
          <w:sz w:val="20"/>
          <w:szCs w:val="20"/>
        </w:rPr>
        <w:t xml:space="preserve"> Published January 25, 2016. Accessed March 2016. </w:t>
      </w:r>
      <w:hyperlink r:id="rId9" w:history="1">
        <w:r w:rsidR="00E87B4A" w:rsidRPr="00E13EB5">
          <w:rPr>
            <w:rStyle w:val="Hyperlink"/>
            <w:sz w:val="20"/>
            <w:szCs w:val="20"/>
          </w:rPr>
          <w:t>https://aspe.hhs.gov/poverty-guidelines</w:t>
        </w:r>
      </w:hyperlink>
      <w:r w:rsidR="00E87B4A" w:rsidRPr="00E13EB5">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63612"/>
      <w:docPartObj>
        <w:docPartGallery w:val="Page Numbers (Bottom of Page)"/>
        <w:docPartUnique/>
      </w:docPartObj>
    </w:sdtPr>
    <w:sdtEndPr>
      <w:rPr>
        <w:noProof/>
      </w:rPr>
    </w:sdtEndPr>
    <w:sdtContent>
      <w:p w14:paraId="29DD8B2A" w14:textId="5CD05EFB" w:rsidR="00AB2A50" w:rsidRDefault="00AB2A50">
        <w:pPr>
          <w:pStyle w:val="Footer"/>
          <w:jc w:val="center"/>
        </w:pPr>
        <w:r>
          <w:fldChar w:fldCharType="begin"/>
        </w:r>
        <w:r>
          <w:instrText xml:space="preserve"> PAGE   \* MERGEFORMAT </w:instrText>
        </w:r>
        <w:r>
          <w:fldChar w:fldCharType="separate"/>
        </w:r>
        <w:r w:rsidR="007700A7">
          <w:rPr>
            <w:noProof/>
          </w:rPr>
          <w:t>3</w:t>
        </w:r>
        <w:r>
          <w:rPr>
            <w:noProof/>
          </w:rPr>
          <w:fldChar w:fldCharType="end"/>
        </w:r>
      </w:p>
    </w:sdtContent>
  </w:sdt>
  <w:p w14:paraId="33309988" w14:textId="77777777" w:rsidR="00AB2A50" w:rsidRDefault="00AB2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BFE7" w14:textId="77777777" w:rsidR="00B16155" w:rsidRDefault="00B16155">
      <w:pPr>
        <w:spacing w:after="0" w:line="240" w:lineRule="auto"/>
      </w:pPr>
      <w:r>
        <w:separator/>
      </w:r>
    </w:p>
  </w:footnote>
  <w:footnote w:type="continuationSeparator" w:id="0">
    <w:p w14:paraId="659325AA" w14:textId="77777777" w:rsidR="00B16155" w:rsidRDefault="00B1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73"/>
    <w:multiLevelType w:val="hybridMultilevel"/>
    <w:tmpl w:val="5AAE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545F"/>
    <w:multiLevelType w:val="hybridMultilevel"/>
    <w:tmpl w:val="F5A2E81A"/>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9083B"/>
    <w:multiLevelType w:val="hybridMultilevel"/>
    <w:tmpl w:val="DC4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6C98"/>
    <w:multiLevelType w:val="hybridMultilevel"/>
    <w:tmpl w:val="B01E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F02"/>
    <w:multiLevelType w:val="hybridMultilevel"/>
    <w:tmpl w:val="97E0F5D8"/>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77"/>
    <w:multiLevelType w:val="hybridMultilevel"/>
    <w:tmpl w:val="787E05E4"/>
    <w:lvl w:ilvl="0" w:tplc="31722B88">
      <w:numFmt w:val="bullet"/>
      <w:lvlText w:val="•"/>
      <w:lvlJc w:val="left"/>
      <w:pPr>
        <w:ind w:left="816" w:hanging="456"/>
      </w:pPr>
      <w:rPr>
        <w:rFonts w:ascii="Calibri" w:eastAsia="Arial" w:hAnsi="Calibri" w:cs="Arial"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B3212"/>
    <w:multiLevelType w:val="hybridMultilevel"/>
    <w:tmpl w:val="2A6031E0"/>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00AF1"/>
    <w:multiLevelType w:val="hybridMultilevel"/>
    <w:tmpl w:val="538479C0"/>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B6F1D"/>
    <w:multiLevelType w:val="hybridMultilevel"/>
    <w:tmpl w:val="4B9E7DD0"/>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F2820"/>
    <w:multiLevelType w:val="hybridMultilevel"/>
    <w:tmpl w:val="355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E3015"/>
    <w:multiLevelType w:val="hybridMultilevel"/>
    <w:tmpl w:val="C04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04F8E"/>
    <w:multiLevelType w:val="hybridMultilevel"/>
    <w:tmpl w:val="7390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945ED"/>
    <w:multiLevelType w:val="hybridMultilevel"/>
    <w:tmpl w:val="9E34CA18"/>
    <w:lvl w:ilvl="0" w:tplc="31722B88">
      <w:numFmt w:val="bullet"/>
      <w:lvlText w:val="•"/>
      <w:lvlJc w:val="left"/>
      <w:pPr>
        <w:ind w:left="816" w:hanging="456"/>
      </w:pPr>
      <w:rPr>
        <w:rFonts w:ascii="Calibri" w:eastAsia="Arial" w:hAnsi="Calibri"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5"/>
  </w:num>
  <w:num w:numId="5">
    <w:abstractNumId w:val="1"/>
  </w:num>
  <w:num w:numId="6">
    <w:abstractNumId w:val="6"/>
  </w:num>
  <w:num w:numId="7">
    <w:abstractNumId w:val="7"/>
  </w:num>
  <w:num w:numId="8">
    <w:abstractNumId w:val="4"/>
  </w:num>
  <w:num w:numId="9">
    <w:abstractNumId w:val="11"/>
  </w:num>
  <w:num w:numId="10">
    <w:abstractNumId w:val="9"/>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33"/>
    <w:rsid w:val="000007D3"/>
    <w:rsid w:val="00005BE7"/>
    <w:rsid w:val="000107FF"/>
    <w:rsid w:val="000217BE"/>
    <w:rsid w:val="00090FAC"/>
    <w:rsid w:val="000A2A9B"/>
    <w:rsid w:val="000B064C"/>
    <w:rsid w:val="000C5644"/>
    <w:rsid w:val="000C7263"/>
    <w:rsid w:val="000E0988"/>
    <w:rsid w:val="000F4F93"/>
    <w:rsid w:val="0014193A"/>
    <w:rsid w:val="001433FA"/>
    <w:rsid w:val="00152E54"/>
    <w:rsid w:val="00156DC6"/>
    <w:rsid w:val="00184753"/>
    <w:rsid w:val="001A0DD0"/>
    <w:rsid w:val="001C37A3"/>
    <w:rsid w:val="001D04CB"/>
    <w:rsid w:val="001D7F79"/>
    <w:rsid w:val="00223BA4"/>
    <w:rsid w:val="00230119"/>
    <w:rsid w:val="00270CC4"/>
    <w:rsid w:val="002C325E"/>
    <w:rsid w:val="00333F8D"/>
    <w:rsid w:val="0034761F"/>
    <w:rsid w:val="0037245D"/>
    <w:rsid w:val="00382815"/>
    <w:rsid w:val="003E743D"/>
    <w:rsid w:val="00422D8E"/>
    <w:rsid w:val="00467590"/>
    <w:rsid w:val="004708F1"/>
    <w:rsid w:val="004B3E56"/>
    <w:rsid w:val="004F46CF"/>
    <w:rsid w:val="00560619"/>
    <w:rsid w:val="00596009"/>
    <w:rsid w:val="005A745A"/>
    <w:rsid w:val="005B0BA0"/>
    <w:rsid w:val="005D3685"/>
    <w:rsid w:val="00631356"/>
    <w:rsid w:val="00636189"/>
    <w:rsid w:val="00690759"/>
    <w:rsid w:val="006D5B35"/>
    <w:rsid w:val="006F4CC0"/>
    <w:rsid w:val="00712E7B"/>
    <w:rsid w:val="0072719A"/>
    <w:rsid w:val="007340F0"/>
    <w:rsid w:val="00765B96"/>
    <w:rsid w:val="007700A7"/>
    <w:rsid w:val="007824A4"/>
    <w:rsid w:val="007B5F2A"/>
    <w:rsid w:val="007B75E0"/>
    <w:rsid w:val="007C528C"/>
    <w:rsid w:val="007E4133"/>
    <w:rsid w:val="00837F50"/>
    <w:rsid w:val="00845DE7"/>
    <w:rsid w:val="00851993"/>
    <w:rsid w:val="00871523"/>
    <w:rsid w:val="00877A88"/>
    <w:rsid w:val="008B1AA2"/>
    <w:rsid w:val="008F36CD"/>
    <w:rsid w:val="00915CBE"/>
    <w:rsid w:val="00937E38"/>
    <w:rsid w:val="00964C5B"/>
    <w:rsid w:val="009A4C8C"/>
    <w:rsid w:val="009D6740"/>
    <w:rsid w:val="00A34DAF"/>
    <w:rsid w:val="00A91465"/>
    <w:rsid w:val="00AA4D35"/>
    <w:rsid w:val="00AA7442"/>
    <w:rsid w:val="00AB2A50"/>
    <w:rsid w:val="00AC3CC0"/>
    <w:rsid w:val="00AF30C9"/>
    <w:rsid w:val="00B16155"/>
    <w:rsid w:val="00B173B7"/>
    <w:rsid w:val="00B46226"/>
    <w:rsid w:val="00BA18D2"/>
    <w:rsid w:val="00BE62D2"/>
    <w:rsid w:val="00C04F11"/>
    <w:rsid w:val="00C05FF0"/>
    <w:rsid w:val="00C0759B"/>
    <w:rsid w:val="00C359C0"/>
    <w:rsid w:val="00C37422"/>
    <w:rsid w:val="00C4372B"/>
    <w:rsid w:val="00C91171"/>
    <w:rsid w:val="00CD4844"/>
    <w:rsid w:val="00CE35F0"/>
    <w:rsid w:val="00CF4EFE"/>
    <w:rsid w:val="00CF78AF"/>
    <w:rsid w:val="00D00BD5"/>
    <w:rsid w:val="00D35177"/>
    <w:rsid w:val="00D41E86"/>
    <w:rsid w:val="00D44237"/>
    <w:rsid w:val="00D4444D"/>
    <w:rsid w:val="00D80871"/>
    <w:rsid w:val="00D85945"/>
    <w:rsid w:val="00D94307"/>
    <w:rsid w:val="00DF0837"/>
    <w:rsid w:val="00DF40EF"/>
    <w:rsid w:val="00E13EB5"/>
    <w:rsid w:val="00E17E56"/>
    <w:rsid w:val="00E824A3"/>
    <w:rsid w:val="00E87B4A"/>
    <w:rsid w:val="00E94665"/>
    <w:rsid w:val="00F31833"/>
    <w:rsid w:val="00F502C7"/>
    <w:rsid w:val="00F87701"/>
    <w:rsid w:val="00FE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8FA8"/>
  <w15:chartTrackingRefBased/>
  <w15:docId w15:val="{6067FC59-2876-4AD6-B8F3-FBB3817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1833"/>
    <w:pPr>
      <w:widowControl w:val="0"/>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833"/>
    <w:rPr>
      <w:rFonts w:ascii="Calibri" w:eastAsia="Calibri" w:hAnsi="Calibri" w:cs="Times New Roman"/>
    </w:rPr>
  </w:style>
  <w:style w:type="paragraph" w:styleId="Footer">
    <w:name w:val="footer"/>
    <w:basedOn w:val="Normal"/>
    <w:link w:val="FooterChar"/>
    <w:uiPriority w:val="99"/>
    <w:unhideWhenUsed/>
    <w:rsid w:val="00F3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833"/>
    <w:rPr>
      <w:rFonts w:ascii="Calibri" w:eastAsia="Calibri" w:hAnsi="Calibri" w:cs="Times New Roman"/>
    </w:rPr>
  </w:style>
  <w:style w:type="paragraph" w:styleId="BalloonText">
    <w:name w:val="Balloon Text"/>
    <w:basedOn w:val="Normal"/>
    <w:link w:val="BalloonTextChar"/>
    <w:uiPriority w:val="99"/>
    <w:semiHidden/>
    <w:unhideWhenUsed/>
    <w:rsid w:val="00F31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33"/>
    <w:rPr>
      <w:rFonts w:ascii="Segoe UI" w:eastAsia="Calibri" w:hAnsi="Segoe UI" w:cs="Segoe UI"/>
      <w:sz w:val="18"/>
      <w:szCs w:val="18"/>
    </w:rPr>
  </w:style>
  <w:style w:type="character" w:styleId="CommentReference">
    <w:name w:val="annotation reference"/>
    <w:uiPriority w:val="99"/>
    <w:semiHidden/>
    <w:unhideWhenUsed/>
    <w:rsid w:val="00F31833"/>
    <w:rPr>
      <w:sz w:val="16"/>
      <w:szCs w:val="16"/>
    </w:rPr>
  </w:style>
  <w:style w:type="paragraph" w:styleId="CommentText">
    <w:name w:val="annotation text"/>
    <w:basedOn w:val="Normal"/>
    <w:link w:val="CommentTextChar"/>
    <w:uiPriority w:val="99"/>
    <w:semiHidden/>
    <w:unhideWhenUsed/>
    <w:rsid w:val="00F31833"/>
    <w:pPr>
      <w:spacing w:line="240" w:lineRule="auto"/>
    </w:pPr>
    <w:rPr>
      <w:sz w:val="20"/>
      <w:szCs w:val="20"/>
    </w:rPr>
  </w:style>
  <w:style w:type="character" w:customStyle="1" w:styleId="CommentTextChar">
    <w:name w:val="Comment Text Char"/>
    <w:basedOn w:val="DefaultParagraphFont"/>
    <w:link w:val="CommentText"/>
    <w:uiPriority w:val="99"/>
    <w:semiHidden/>
    <w:rsid w:val="00F318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1833"/>
    <w:rPr>
      <w:b/>
      <w:bCs/>
    </w:rPr>
  </w:style>
  <w:style w:type="character" w:customStyle="1" w:styleId="CommentSubjectChar">
    <w:name w:val="Comment Subject Char"/>
    <w:basedOn w:val="CommentTextChar"/>
    <w:link w:val="CommentSubject"/>
    <w:uiPriority w:val="99"/>
    <w:semiHidden/>
    <w:rsid w:val="00F31833"/>
    <w:rPr>
      <w:rFonts w:ascii="Calibri" w:eastAsia="Calibri" w:hAnsi="Calibri" w:cs="Times New Roman"/>
      <w:b/>
      <w:bCs/>
      <w:sz w:val="20"/>
      <w:szCs w:val="20"/>
    </w:rPr>
  </w:style>
  <w:style w:type="paragraph" w:styleId="ListParagraph">
    <w:name w:val="List Paragraph"/>
    <w:basedOn w:val="Normal"/>
    <w:uiPriority w:val="34"/>
    <w:qFormat/>
    <w:rsid w:val="00F31833"/>
    <w:pPr>
      <w:ind w:left="720"/>
      <w:contextualSpacing/>
    </w:pPr>
  </w:style>
  <w:style w:type="character" w:styleId="Hyperlink">
    <w:name w:val="Hyperlink"/>
    <w:basedOn w:val="DefaultParagraphFont"/>
    <w:uiPriority w:val="99"/>
    <w:unhideWhenUsed/>
    <w:rsid w:val="00964C5B"/>
    <w:rPr>
      <w:color w:val="0563C1" w:themeColor="hyperlink"/>
      <w:u w:val="single"/>
    </w:rPr>
  </w:style>
  <w:style w:type="paragraph" w:styleId="FootnoteText">
    <w:name w:val="footnote text"/>
    <w:basedOn w:val="Normal"/>
    <w:link w:val="FootnoteTextChar"/>
    <w:uiPriority w:val="99"/>
    <w:unhideWhenUsed/>
    <w:rsid w:val="00D85945"/>
    <w:pPr>
      <w:spacing w:after="0" w:line="240" w:lineRule="auto"/>
    </w:pPr>
    <w:rPr>
      <w:sz w:val="20"/>
      <w:szCs w:val="20"/>
    </w:rPr>
  </w:style>
  <w:style w:type="character" w:customStyle="1" w:styleId="FootnoteTextChar">
    <w:name w:val="Footnote Text Char"/>
    <w:basedOn w:val="DefaultParagraphFont"/>
    <w:link w:val="FootnoteText"/>
    <w:uiPriority w:val="99"/>
    <w:rsid w:val="00D8594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945"/>
    <w:rPr>
      <w:vertAlign w:val="superscript"/>
    </w:rPr>
  </w:style>
  <w:style w:type="paragraph" w:styleId="Revision">
    <w:name w:val="Revision"/>
    <w:hidden/>
    <w:uiPriority w:val="99"/>
    <w:semiHidden/>
    <w:rsid w:val="00D35177"/>
    <w:rPr>
      <w:rFonts w:ascii="Calibri" w:eastAsia="Calibri" w:hAnsi="Calibri" w:cs="Times New Roman"/>
    </w:rPr>
  </w:style>
  <w:style w:type="character" w:styleId="Emphasis">
    <w:name w:val="Emphasis"/>
    <w:basedOn w:val="DefaultParagraphFont"/>
    <w:uiPriority w:val="20"/>
    <w:qFormat/>
    <w:rsid w:val="00851993"/>
    <w:rPr>
      <w:i/>
      <w:iCs/>
    </w:rPr>
  </w:style>
  <w:style w:type="table" w:styleId="TableGrid">
    <w:name w:val="Table Grid"/>
    <w:basedOn w:val="TableNormal"/>
    <w:uiPriority w:val="39"/>
    <w:rsid w:val="006F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4B3E56"/>
    <w:rPr>
      <w:vertAlign w:val="superscript"/>
    </w:rPr>
  </w:style>
  <w:style w:type="paragraph" w:styleId="EndnoteText">
    <w:name w:val="endnote text"/>
    <w:basedOn w:val="Normal"/>
    <w:link w:val="EndnoteTextChar"/>
    <w:uiPriority w:val="99"/>
    <w:semiHidden/>
    <w:unhideWhenUsed/>
    <w:rsid w:val="004B3E56"/>
    <w:pPr>
      <w:widowControl/>
      <w:spacing w:after="0" w:line="240" w:lineRule="auto"/>
    </w:pPr>
    <w:rPr>
      <w:rFonts w:asciiTheme="minorHAnsi" w:eastAsiaTheme="minorEastAsia" w:hAnsiTheme="minorHAnsi" w:cstheme="minorBidi"/>
      <w:sz w:val="24"/>
      <w:szCs w:val="24"/>
    </w:rPr>
  </w:style>
  <w:style w:type="character" w:customStyle="1" w:styleId="EndnoteTextChar">
    <w:name w:val="Endnote Text Char"/>
    <w:basedOn w:val="DefaultParagraphFont"/>
    <w:link w:val="EndnoteText"/>
    <w:uiPriority w:val="99"/>
    <w:semiHidden/>
    <w:rsid w:val="004B3E56"/>
    <w:rPr>
      <w:rFonts w:eastAsiaTheme="minorEastAsia"/>
      <w:sz w:val="24"/>
      <w:szCs w:val="24"/>
    </w:rPr>
  </w:style>
  <w:style w:type="character" w:styleId="FollowedHyperlink">
    <w:name w:val="FollowedHyperlink"/>
    <w:basedOn w:val="DefaultParagraphFont"/>
    <w:uiPriority w:val="99"/>
    <w:semiHidden/>
    <w:unhideWhenUsed/>
    <w:rsid w:val="00560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73765">
      <w:bodyDiv w:val="1"/>
      <w:marLeft w:val="0"/>
      <w:marRight w:val="0"/>
      <w:marTop w:val="0"/>
      <w:marBottom w:val="0"/>
      <w:divBdr>
        <w:top w:val="none" w:sz="0" w:space="0" w:color="auto"/>
        <w:left w:val="none" w:sz="0" w:space="0" w:color="auto"/>
        <w:bottom w:val="none" w:sz="0" w:space="0" w:color="auto"/>
        <w:right w:val="none" w:sz="0" w:space="0" w:color="auto"/>
      </w:divBdr>
    </w:div>
    <w:div w:id="16859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files.kff.org/attachment/Issue-Brief-Pre-existing-Conditions-and-Medical-Underwriting-in-the-Individual-Insurance-Market-Prior-to-the-ACA" TargetMode="External"/><Relationship Id="rId3" Type="http://schemas.openxmlformats.org/officeDocument/2006/relationships/hyperlink" Target="http://www.cancer.org/cancer/news/report-links-health-insurance-status-with-cancer-care" TargetMode="External"/><Relationship Id="rId7" Type="http://schemas.openxmlformats.org/officeDocument/2006/relationships/hyperlink" Target="http://healthyamericans.org/health-issues/wp-content/uploads/2016/12/Fund-Backgrounder-Dec-2016.pdf" TargetMode="External"/><Relationship Id="rId2" Type="http://schemas.openxmlformats.org/officeDocument/2006/relationships/hyperlink" Target="http://www.cbo.gov/sites/default/files/114th-congress-2015-2016/reports/51385-HealthInsuranceBaseline_OneCol.pdf" TargetMode="External"/><Relationship Id="rId1" Type="http://schemas.openxmlformats.org/officeDocument/2006/relationships/hyperlink" Target="https://aspe.hhs.gov/sites/default/files/pdf/187551/ACA2010-2016.pdf" TargetMode="External"/><Relationship Id="rId6" Type="http://schemas.openxmlformats.org/officeDocument/2006/relationships/hyperlink" Target="https://aspe.hhs.gov/compilation-state-data-affordable-care-act" TargetMode="External"/><Relationship Id="rId5" Type="http://schemas.openxmlformats.org/officeDocument/2006/relationships/hyperlink" Target="http://www.cancer.org/acs/groups/content/@research/documents/document/acspc-048074.pdf" TargetMode="External"/><Relationship Id="rId4" Type="http://schemas.openxmlformats.org/officeDocument/2006/relationships/hyperlink" Target="http://www.cancer.org/acs/groups/content/@research/documents/document/acspc-047079.pdf" TargetMode="Externa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7CFBEFBEDD640A320D963BF89A5AE" ma:contentTypeVersion="0" ma:contentTypeDescription="Create a new document." ma:contentTypeScope="" ma:versionID="54e3c28ce178e80f42cd6cddb0cf0f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3AA1-5C50-4A7D-BF52-2E7B04F3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B603B2-CE23-4A88-BC7F-DC2F9EEED7F3}">
  <ds:schemaRefs>
    <ds:schemaRef ds:uri="http://schemas.microsoft.com/sharepoint/v3/contenttype/forms"/>
  </ds:schemaRefs>
</ds:datastoreItem>
</file>

<file path=customXml/itemProps3.xml><?xml version="1.0" encoding="utf-8"?>
<ds:datastoreItem xmlns:ds="http://schemas.openxmlformats.org/officeDocument/2006/customXml" ds:itemID="{EFF808A1-8013-453C-AD1D-AB17CA53D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0A7F5-B049-42EF-A3B5-4B4A43AA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Singleterry</dc:creator>
  <cp:keywords/>
  <dc:description/>
  <cp:lastModifiedBy>Michelle Zimmerman</cp:lastModifiedBy>
  <cp:revision>3</cp:revision>
  <dcterms:created xsi:type="dcterms:W3CDTF">2017-01-12T20:40:00Z</dcterms:created>
  <dcterms:modified xsi:type="dcterms:W3CDTF">2017-01-12T20:52:00Z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0x01010079E7CFBEFBEDD640A320D963BF89A5AE</vt:lpwstr>
  </property>
</Properties>
</file>